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6C" w:rsidRPr="001B0C6C" w:rsidRDefault="001B0C6C" w:rsidP="001B0C6C">
      <w:pPr>
        <w:rPr>
          <w:rFonts w:eastAsia="Cambria" w:cs="Cambria"/>
          <w:b/>
          <w:spacing w:val="1"/>
          <w:w w:val="102"/>
        </w:rPr>
      </w:pPr>
      <w:r w:rsidRPr="001B0C6C">
        <w:rPr>
          <w:rFonts w:eastAsia="Cambria" w:cs="Cambria"/>
          <w:b/>
          <w:spacing w:val="1"/>
          <w:w w:val="102"/>
        </w:rPr>
        <w:t>Table: Descriptive List of Variables from Cross-Sectional Study on Water Supply and Health in Rural Alabama 2012</w:t>
      </w:r>
    </w:p>
    <w:p w:rsidR="001B0C6C" w:rsidRPr="003162AD" w:rsidRDefault="001B0C6C" w:rsidP="001B0C6C">
      <w:pPr>
        <w:rPr>
          <w:rFonts w:eastAsia="Cambria" w:cs="Cambria"/>
          <w:spacing w:val="1"/>
          <w:w w:val="102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192"/>
        <w:gridCol w:w="6636"/>
      </w:tblGrid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Variable description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Format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Household level data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(as reported by the primary respondent)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Rents home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owning the home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College graduate in the home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no household member had a college degree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Connected to sewer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not being connected to sewer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Treating tap water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not treating tap water for drinking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Drinking bottled water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not reporting using bottled water for drinking regularly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Intermittent service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never reporting this condition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Low water pressure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never reporting this condition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Odd taste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never reporting this condition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Odd smell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never reporting this condition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Odd color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was never reporting this condition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Water quality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(as measured by interview staff at the household or the laboratory)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Log</w:t>
            </w:r>
            <w:r w:rsidRPr="003162AD">
              <w:rPr>
                <w:rFonts w:eastAsia="Cambria" w:cs="Cambria"/>
                <w:spacing w:val="1"/>
                <w:w w:val="102"/>
                <w:vertAlign w:val="subscript"/>
              </w:rPr>
              <w:t>10</w:t>
            </w:r>
            <w:r w:rsidRPr="003162AD">
              <w:rPr>
                <w:rFonts w:eastAsia="Cambria" w:cs="Cambria"/>
                <w:spacing w:val="1"/>
                <w:w w:val="102"/>
              </w:rPr>
              <w:t xml:space="preserve"> Pressure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Continuous, log base 10 transformed PSI units where one unit increase represent a 10 fold increase in pressure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Turbidity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 xml:space="preserve">Binary, reference category is measured turbidity was &lt;0.3 NTU 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Free chlorine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free chlorine was &lt;0.1mg/L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Total chlorine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total chlorine was &lt;0.1mg/L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Outside tap – total coliforms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total coliforms &lt; 1/100mL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Kitchen tap – total coliforms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total coliforms &lt; 1/100mL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 xml:space="preserve">Outside tap – </w:t>
            </w:r>
            <w:r w:rsidRPr="003162AD">
              <w:rPr>
                <w:rFonts w:eastAsia="Cambria" w:cs="Cambria"/>
                <w:i/>
                <w:spacing w:val="1"/>
                <w:w w:val="102"/>
              </w:rPr>
              <w:t>E. coli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 xml:space="preserve">Binary, reference category is </w:t>
            </w:r>
            <w:r w:rsidRPr="003162AD">
              <w:rPr>
                <w:rFonts w:eastAsia="Cambria" w:cs="Cambria"/>
                <w:i/>
                <w:spacing w:val="1"/>
                <w:w w:val="102"/>
              </w:rPr>
              <w:t>E. coli</w:t>
            </w:r>
            <w:r w:rsidRPr="003162AD">
              <w:rPr>
                <w:rFonts w:eastAsia="Cambria" w:cs="Cambria"/>
                <w:spacing w:val="1"/>
                <w:w w:val="102"/>
              </w:rPr>
              <w:t xml:space="preserve"> &lt; 1/100mL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lastRenderedPageBreak/>
              <w:t xml:space="preserve">Kitchen tap – </w:t>
            </w:r>
            <w:r w:rsidRPr="003162AD">
              <w:rPr>
                <w:rFonts w:eastAsia="Cambria" w:cs="Cambria"/>
                <w:i/>
                <w:spacing w:val="1"/>
                <w:w w:val="102"/>
              </w:rPr>
              <w:t>E. coli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 xml:space="preserve">Binary, reference category is </w:t>
            </w:r>
            <w:r w:rsidRPr="003162AD">
              <w:rPr>
                <w:rFonts w:eastAsia="Cambria" w:cs="Cambria"/>
                <w:i/>
                <w:spacing w:val="1"/>
                <w:w w:val="102"/>
              </w:rPr>
              <w:t>E. coli</w:t>
            </w:r>
            <w:r w:rsidRPr="003162AD">
              <w:rPr>
                <w:rFonts w:eastAsia="Cambria" w:cs="Cambria"/>
                <w:spacing w:val="1"/>
                <w:w w:val="102"/>
              </w:rPr>
              <w:t xml:space="preserve"> &lt; 1/100mL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Individual level data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b/>
                <w:spacing w:val="1"/>
                <w:w w:val="102"/>
              </w:rPr>
            </w:pPr>
            <w:r w:rsidRPr="003162AD">
              <w:rPr>
                <w:rFonts w:eastAsia="Cambria" w:cs="Cambria"/>
                <w:b/>
                <w:spacing w:val="1"/>
                <w:w w:val="102"/>
              </w:rPr>
              <w:t>(as reported by primary respondent)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Age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Continuous, Age in years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Age (binary)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&lt; 5 years of age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Sex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male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Race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white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Any symptoms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 xml:space="preserve">Binary, reference category is no reports of </w:t>
            </w:r>
            <w:r w:rsidRPr="003162AD">
              <w:rPr>
                <w:rFonts w:cs="Times New Roman"/>
              </w:rPr>
              <w:t>watery diarrhea, soft diarrhea, vomiting, nausea, or abdominal cramps.</w:t>
            </w:r>
            <w:r w:rsidRPr="003162AD">
              <w:rPr>
                <w:rFonts w:eastAsia="Cambria" w:cs="Cambria"/>
                <w:spacing w:val="1"/>
                <w:w w:val="102"/>
              </w:rPr>
              <w:t xml:space="preserve"> 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Any vomiting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no report of vomiting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Any diarrhea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no report of water or soft diarrhea</w:t>
            </w:r>
          </w:p>
        </w:tc>
      </w:tr>
      <w:tr w:rsidR="001B0C6C" w:rsidRPr="003162AD" w:rsidTr="00146D71">
        <w:tc>
          <w:tcPr>
            <w:tcW w:w="3192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AGI</w:t>
            </w:r>
          </w:p>
        </w:tc>
        <w:tc>
          <w:tcPr>
            <w:tcW w:w="6636" w:type="dxa"/>
          </w:tcPr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Binary, reference category is no vomiting, no diarrhea (unless fewer than 3 stool in 24 hours</w:t>
            </w:r>
            <w:r>
              <w:rPr>
                <w:rFonts w:eastAsia="Cambria" w:cs="Cambria"/>
                <w:spacing w:val="1"/>
                <w:w w:val="102"/>
              </w:rPr>
              <w:t>)</w:t>
            </w:r>
            <w:bookmarkStart w:id="0" w:name="_GoBack"/>
            <w:bookmarkEnd w:id="0"/>
          </w:p>
          <w:p w:rsidR="001B0C6C" w:rsidRPr="003162AD" w:rsidRDefault="001B0C6C" w:rsidP="00146D71">
            <w:pPr>
              <w:rPr>
                <w:rFonts w:eastAsia="Cambria" w:cs="Cambria"/>
                <w:spacing w:val="1"/>
                <w:w w:val="102"/>
              </w:rPr>
            </w:pPr>
            <w:r w:rsidRPr="003162AD">
              <w:rPr>
                <w:rFonts w:eastAsia="Cambria" w:cs="Cambria"/>
                <w:spacing w:val="1"/>
                <w:w w:val="102"/>
              </w:rPr>
              <w:t>Excludes individuals who have the following reported conditions:</w:t>
            </w:r>
            <w:r w:rsidRPr="003162AD">
              <w:t xml:space="preserve"> those with irritable bowel syndrome, Crohn’s</w:t>
            </w:r>
            <w:r>
              <w:t xml:space="preserve"> disease, ulcerative colitis, c</w:t>
            </w:r>
            <w:r w:rsidRPr="003162AD">
              <w:t>eliac disease, and pregnancy</w:t>
            </w:r>
          </w:p>
        </w:tc>
      </w:tr>
    </w:tbl>
    <w:p w:rsidR="001B0C6C" w:rsidRPr="003162AD" w:rsidRDefault="001B0C6C" w:rsidP="001B0C6C">
      <w:pPr>
        <w:rPr>
          <w:rFonts w:eastAsia="Cambria" w:cs="Cambria"/>
          <w:spacing w:val="1"/>
          <w:w w:val="102"/>
        </w:rPr>
      </w:pPr>
    </w:p>
    <w:p w:rsidR="00360BF0" w:rsidRDefault="00360BF0"/>
    <w:sectPr w:rsidR="0036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6C"/>
    <w:rsid w:val="001B0C6C"/>
    <w:rsid w:val="0036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FEC42-A485-457B-9552-5032B434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C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Elizabeth Stauber</dc:creator>
  <cp:keywords/>
  <dc:description/>
  <cp:lastModifiedBy>Christine Elizabeth Stauber</cp:lastModifiedBy>
  <cp:revision>1</cp:revision>
  <dcterms:created xsi:type="dcterms:W3CDTF">2016-01-05T19:18:00Z</dcterms:created>
  <dcterms:modified xsi:type="dcterms:W3CDTF">2016-01-05T19:22:00Z</dcterms:modified>
</cp:coreProperties>
</file>