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69" w:rsidRPr="000412A9" w:rsidRDefault="00B16B69" w:rsidP="00B16B69">
      <w:pPr>
        <w:pStyle w:val="Default"/>
        <w:spacing w:line="480" w:lineRule="auto"/>
        <w:rPr>
          <w:rFonts w:ascii="Times New Roman" w:hAnsi="Times New Roman" w:cs="Times New Roman"/>
          <w:color w:val="auto"/>
          <w:sz w:val="36"/>
          <w:szCs w:val="36"/>
        </w:rPr>
      </w:pPr>
      <w:bookmarkStart w:id="0" w:name="_GoBack"/>
      <w:bookmarkEnd w:id="0"/>
      <w:r w:rsidRPr="000412A9">
        <w:rPr>
          <w:rFonts w:ascii="Times New Roman" w:hAnsi="Times New Roman" w:cs="Times New Roman"/>
          <w:b/>
          <w:color w:val="auto"/>
          <w:sz w:val="36"/>
          <w:szCs w:val="36"/>
        </w:rPr>
        <w:t>Hypothesis 1b: Effects of Sample Sizes</w:t>
      </w:r>
    </w:p>
    <w:p w:rsidR="00B16B69" w:rsidRPr="000412A9" w:rsidRDefault="00B16B69" w:rsidP="00B16B69">
      <w:pPr>
        <w:pStyle w:val="Default"/>
        <w:spacing w:line="480" w:lineRule="auto"/>
        <w:ind w:firstLine="720"/>
        <w:rPr>
          <w:rFonts w:ascii="Times New Roman" w:hAnsi="Times New Roman" w:cs="Times New Roman"/>
          <w:color w:val="auto"/>
        </w:rPr>
      </w:pPr>
      <w:r w:rsidRPr="000412A9">
        <w:rPr>
          <w:rFonts w:ascii="Times New Roman" w:hAnsi="Times New Roman" w:cs="Times New Roman"/>
          <w:color w:val="auto"/>
        </w:rPr>
        <w:t>Ego-depletion effects are typically tested in sample sizes much smaller than in the present one (cf</w:t>
      </w:r>
      <w:r w:rsidR="00EC78F1" w:rsidRPr="000412A9">
        <w:rPr>
          <w:rFonts w:ascii="Times New Roman" w:hAnsi="Times New Roman" w:cs="Times New Roman"/>
          <w:color w:val="auto"/>
        </w:rPr>
        <w:t>.  [1</w:t>
      </w:r>
      <w:r w:rsidRPr="000412A9">
        <w:rPr>
          <w:rFonts w:ascii="Times New Roman" w:hAnsi="Times New Roman" w:cs="Times New Roman"/>
          <w:color w:val="auto"/>
        </w:rPr>
        <w:t xml:space="preserve">]).  Therefore, we examined how sample size affects the occurrence and size of the ego-depletion effect using a bootstrap resampling method </w:t>
      </w:r>
      <w:r w:rsidR="00BA0F49" w:rsidRPr="000412A9">
        <w:rPr>
          <w:rFonts w:ascii="Times New Roman" w:hAnsi="Times New Roman" w:cs="Times New Roman"/>
          <w:color w:val="auto"/>
        </w:rPr>
        <w:t>[</w:t>
      </w:r>
      <w:r w:rsidR="00EC78F1" w:rsidRPr="000412A9">
        <w:rPr>
          <w:rFonts w:ascii="Times New Roman" w:hAnsi="Times New Roman" w:cs="Times New Roman"/>
          <w:color w:val="auto"/>
        </w:rPr>
        <w:t>2</w:t>
      </w:r>
      <w:r w:rsidRPr="000412A9">
        <w:rPr>
          <w:rFonts w:ascii="Times New Roman" w:hAnsi="Times New Roman" w:cs="Times New Roman"/>
          <w:color w:val="auto"/>
        </w:rPr>
        <w:t>].  For each of five hypothetical sample sizes (</w:t>
      </w:r>
      <w:r w:rsidRPr="000412A9">
        <w:rPr>
          <w:rFonts w:ascii="Times New Roman" w:hAnsi="Times New Roman" w:cs="Times New Roman"/>
          <w:i/>
          <w:color w:val="auto"/>
        </w:rPr>
        <w:t>n’</w:t>
      </w:r>
      <w:r w:rsidRPr="000412A9">
        <w:rPr>
          <w:rFonts w:ascii="Times New Roman" w:hAnsi="Times New Roman" w:cs="Times New Roman"/>
          <w:color w:val="auto"/>
        </w:rPr>
        <w:t xml:space="preserve">s per condition of 10, 20, 30, </w:t>
      </w:r>
      <w:r w:rsidR="00AC39B7" w:rsidRPr="000412A9">
        <w:rPr>
          <w:rFonts w:ascii="Times New Roman" w:hAnsi="Times New Roman" w:cs="Times New Roman"/>
          <w:color w:val="auto"/>
        </w:rPr>
        <w:t>40, and 50), we drew random sub</w:t>
      </w:r>
      <w:r w:rsidRPr="000412A9">
        <w:rPr>
          <w:rFonts w:ascii="Times New Roman" w:hAnsi="Times New Roman" w:cs="Times New Roman"/>
          <w:color w:val="auto"/>
        </w:rPr>
        <w:t xml:space="preserve">samples (with replacement) to investigate whether significant ego-depletion effects (i.e., those meeting the </w:t>
      </w:r>
      <w:r w:rsidRPr="000412A9">
        <w:rPr>
          <w:rFonts w:ascii="Times New Roman" w:hAnsi="Times New Roman" w:cs="Times New Roman"/>
          <w:i/>
          <w:color w:val="auto"/>
        </w:rPr>
        <w:t>p</w:t>
      </w:r>
      <w:r w:rsidRPr="000412A9">
        <w:rPr>
          <w:rFonts w:ascii="Times New Roman" w:hAnsi="Times New Roman" w:cs="Times New Roman"/>
          <w:color w:val="auto"/>
        </w:rPr>
        <w:t xml:space="preserve"> &lt; .05 criterion) occurred more frequently in smaller sample sizes relative to larger sample sizes.  For each of 1000 sampling iterations per sample size, we computed descriptive statistics (</w:t>
      </w:r>
      <w:r w:rsidRPr="000412A9">
        <w:rPr>
          <w:rFonts w:ascii="Times New Roman" w:hAnsi="Times New Roman" w:cs="Times New Roman"/>
          <w:i/>
          <w:color w:val="auto"/>
        </w:rPr>
        <w:t>M</w:t>
      </w:r>
      <w:r w:rsidRPr="000412A9">
        <w:rPr>
          <w:rFonts w:ascii="Times New Roman" w:hAnsi="Times New Roman" w:cs="Times New Roman"/>
          <w:color w:val="auto"/>
        </w:rPr>
        <w:t xml:space="preserve">, </w:t>
      </w:r>
      <w:r w:rsidRPr="000412A9">
        <w:rPr>
          <w:rFonts w:ascii="Times New Roman" w:hAnsi="Times New Roman" w:cs="Times New Roman"/>
          <w:i/>
          <w:color w:val="auto"/>
        </w:rPr>
        <w:t>SD</w:t>
      </w:r>
      <w:r w:rsidRPr="000412A9">
        <w:rPr>
          <w:rFonts w:ascii="Times New Roman" w:hAnsi="Times New Roman" w:cs="Times New Roman"/>
          <w:color w:val="auto"/>
        </w:rPr>
        <w:t xml:space="preserve">) and tested for group differences in OSPAN performance.  </w:t>
      </w:r>
    </w:p>
    <w:p w:rsidR="00B16B69" w:rsidRPr="000412A9" w:rsidRDefault="00EC78F1" w:rsidP="00B16B69">
      <w:pPr>
        <w:pStyle w:val="Default"/>
        <w:spacing w:line="480" w:lineRule="auto"/>
        <w:ind w:firstLine="720"/>
        <w:rPr>
          <w:rFonts w:ascii="Times New Roman" w:hAnsi="Times New Roman" w:cs="Times New Roman"/>
          <w:color w:val="auto"/>
        </w:rPr>
      </w:pPr>
      <w:r w:rsidRPr="000412A9">
        <w:rPr>
          <w:rFonts w:ascii="Times New Roman" w:hAnsi="Times New Roman" w:cs="Times New Roman"/>
          <w:color w:val="auto"/>
        </w:rPr>
        <w:t>As summarized in Table A</w:t>
      </w:r>
      <w:r w:rsidR="00B16B69" w:rsidRPr="000412A9">
        <w:rPr>
          <w:rFonts w:ascii="Times New Roman" w:hAnsi="Times New Roman" w:cs="Times New Roman"/>
          <w:color w:val="auto"/>
        </w:rPr>
        <w:t xml:space="preserve"> and Fig</w:t>
      </w:r>
      <w:r w:rsidRPr="000412A9">
        <w:rPr>
          <w:rFonts w:ascii="Times New Roman" w:hAnsi="Times New Roman" w:cs="Times New Roman"/>
          <w:color w:val="auto"/>
        </w:rPr>
        <w:t xml:space="preserve"> A</w:t>
      </w:r>
      <w:r w:rsidR="00B16B69" w:rsidRPr="000412A9">
        <w:rPr>
          <w:rFonts w:ascii="Times New Roman" w:hAnsi="Times New Roman" w:cs="Times New Roman"/>
          <w:color w:val="auto"/>
        </w:rPr>
        <w:t>, statistically significant ego-depletion effects in the expected direction (i.e., lower OSPAN performance in the Depletion compared to the Control Condition) occurred more frequently and were more variable in magnitude at smaller sample sizes.  This is in spite of the fact that, at the level of overall means, subjects in the Depletion Condition performed slightly better than those in the Control Condition in this study (see Fig 1).  For example, at the smallest condition size (</w:t>
      </w:r>
      <w:r w:rsidR="00B16B69" w:rsidRPr="000412A9">
        <w:rPr>
          <w:rFonts w:ascii="Times New Roman" w:hAnsi="Times New Roman" w:cs="Times New Roman"/>
          <w:i/>
          <w:color w:val="auto"/>
        </w:rPr>
        <w:t>n</w:t>
      </w:r>
      <w:r w:rsidR="00B16B69" w:rsidRPr="000412A9">
        <w:rPr>
          <w:rFonts w:ascii="Times New Roman" w:hAnsi="Times New Roman" w:cs="Times New Roman"/>
          <w:color w:val="auto"/>
        </w:rPr>
        <w:t xml:space="preserve"> = 10), 306 of the 1000 iterations resulted in mean differences in the direction of the ego-depletion effect (i.e., better OSPAN performance in the Control Condition than in the Depletion Condition), with effect sizes ranging from </w:t>
      </w:r>
      <w:r w:rsidR="00B16B69" w:rsidRPr="000412A9">
        <w:rPr>
          <w:rFonts w:ascii="Times New Roman" w:hAnsi="Times New Roman" w:cs="Times New Roman"/>
          <w:i/>
          <w:color w:val="auto"/>
        </w:rPr>
        <w:t>d</w:t>
      </w:r>
      <w:r w:rsidR="00B16B69" w:rsidRPr="000412A9">
        <w:rPr>
          <w:rFonts w:ascii="Times New Roman" w:hAnsi="Times New Roman" w:cs="Times New Roman"/>
          <w:color w:val="auto"/>
        </w:rPr>
        <w:t xml:space="preserve"> = 0.02 to </w:t>
      </w:r>
      <w:r w:rsidR="00B16B69" w:rsidRPr="000412A9">
        <w:rPr>
          <w:rFonts w:ascii="Times New Roman" w:hAnsi="Times New Roman" w:cs="Times New Roman"/>
          <w:i/>
          <w:color w:val="auto"/>
        </w:rPr>
        <w:t>d</w:t>
      </w:r>
      <w:r w:rsidR="00B16B69" w:rsidRPr="000412A9">
        <w:rPr>
          <w:rFonts w:ascii="Times New Roman" w:hAnsi="Times New Roman" w:cs="Times New Roman"/>
          <w:color w:val="auto"/>
        </w:rPr>
        <w:t xml:space="preserve"> = 1.53 (</w:t>
      </w:r>
      <w:r w:rsidR="00B16B69" w:rsidRPr="000412A9">
        <w:rPr>
          <w:rFonts w:ascii="Times New Roman" w:hAnsi="Times New Roman" w:cs="Times New Roman"/>
          <w:i/>
          <w:color w:val="auto"/>
        </w:rPr>
        <w:t>M</w:t>
      </w:r>
      <w:r w:rsidR="00B16B69" w:rsidRPr="000412A9">
        <w:rPr>
          <w:rFonts w:ascii="Times New Roman" w:hAnsi="Times New Roman" w:cs="Times New Roman"/>
          <w:color w:val="auto"/>
        </w:rPr>
        <w:t xml:space="preserve"> = 0.30), 3.60% of which reached statistical significance.  As the sample size increased, the number of comparisons in the direction of the ego-depletion effect decreased along with the proportion of significant ego-depletion effects.  </w:t>
      </w:r>
    </w:p>
    <w:p w:rsidR="00CF4458" w:rsidRDefault="00CF4458">
      <w:pPr>
        <w:rPr>
          <w:rFonts w:ascii="Times New Roman" w:hAnsi="Times New Roman" w:cs="Times New Roman"/>
          <w:sz w:val="24"/>
          <w:szCs w:val="24"/>
        </w:rPr>
      </w:pPr>
      <w:r>
        <w:rPr>
          <w:rFonts w:ascii="Times New Roman" w:hAnsi="Times New Roman" w:cs="Times New Roman"/>
        </w:rPr>
        <w:br w:type="page"/>
      </w:r>
    </w:p>
    <w:p w:rsidR="00B16B69" w:rsidRPr="000412A9" w:rsidRDefault="00E9331C" w:rsidP="00B16B69">
      <w:pPr>
        <w:tabs>
          <w:tab w:val="left" w:pos="1236"/>
        </w:tabs>
        <w:ind w:left="720" w:hanging="720"/>
        <w:rPr>
          <w:rFonts w:ascii="Times New Roman" w:hAnsi="Times New Roman" w:cs="Times New Roman"/>
          <w:b/>
          <w:sz w:val="24"/>
          <w:szCs w:val="24"/>
        </w:rPr>
      </w:pPr>
      <w:r w:rsidRPr="000412A9">
        <w:rPr>
          <w:rFonts w:ascii="Times New Roman" w:hAnsi="Times New Roman" w:cs="Times New Roman"/>
          <w:b/>
          <w:sz w:val="24"/>
          <w:szCs w:val="24"/>
        </w:rPr>
        <w:lastRenderedPageBreak/>
        <w:t>Table A</w:t>
      </w:r>
      <w:r w:rsidR="00B16B69" w:rsidRPr="000412A9">
        <w:rPr>
          <w:rFonts w:ascii="Times New Roman" w:hAnsi="Times New Roman" w:cs="Times New Roman"/>
          <w:b/>
          <w:sz w:val="24"/>
          <w:szCs w:val="24"/>
        </w:rPr>
        <w:t>.  Between-subjects outcome task performance from re-sampling comparisons.</w:t>
      </w:r>
    </w:p>
    <w:tbl>
      <w:tblPr>
        <w:tblW w:w="9576" w:type="dxa"/>
        <w:tblCellMar>
          <w:left w:w="0" w:type="dxa"/>
          <w:right w:w="0" w:type="dxa"/>
        </w:tblCellMar>
        <w:tblLook w:val="04A0" w:firstRow="1" w:lastRow="0" w:firstColumn="1" w:lastColumn="0" w:noHBand="0" w:noVBand="1"/>
      </w:tblPr>
      <w:tblGrid>
        <w:gridCol w:w="2228"/>
        <w:gridCol w:w="2359"/>
        <w:gridCol w:w="2419"/>
        <w:gridCol w:w="2570"/>
      </w:tblGrid>
      <w:tr w:rsidR="00B16B69" w:rsidRPr="000412A9" w:rsidTr="00461113">
        <w:trPr>
          <w:trHeight w:val="492"/>
        </w:trPr>
        <w:tc>
          <w:tcPr>
            <w:tcW w:w="2228"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i/>
                <w:iCs/>
                <w:sz w:val="24"/>
                <w:szCs w:val="24"/>
              </w:rPr>
              <w:t>n</w:t>
            </w:r>
            <w:r w:rsidRPr="000412A9">
              <w:rPr>
                <w:rFonts w:ascii="Times New Roman" w:hAnsi="Times New Roman" w:cs="Times New Roman"/>
                <w:sz w:val="24"/>
                <w:szCs w:val="24"/>
              </w:rPr>
              <w:t xml:space="preserve"> per Condition</w:t>
            </w:r>
          </w:p>
        </w:tc>
        <w:tc>
          <w:tcPr>
            <w:tcW w:w="2359" w:type="dxa"/>
            <w:tcBorders>
              <w:top w:val="single" w:sz="8" w:space="0" w:color="000000"/>
              <w:left w:val="nil"/>
              <w:bottom w:val="single" w:sz="8" w:space="0" w:color="000000"/>
            </w:tcBorders>
            <w:shd w:val="clear" w:color="auto" w:fill="auto"/>
            <w:tcMar>
              <w:top w:w="15" w:type="dxa"/>
              <w:left w:w="108" w:type="dxa"/>
              <w:bottom w:w="0" w:type="dxa"/>
              <w:right w:w="108" w:type="dxa"/>
            </w:tcMar>
            <w:vAlign w:val="bottom"/>
            <w:hideMark/>
          </w:tcPr>
          <w:p w:rsidR="00B16B69" w:rsidRPr="000412A9" w:rsidRDefault="00B16B69" w:rsidP="00461113">
            <w:pPr>
              <w:jc w:val="center"/>
              <w:rPr>
                <w:rFonts w:ascii="Times New Roman" w:hAnsi="Times New Roman" w:cs="Times New Roman"/>
                <w:sz w:val="24"/>
                <w:szCs w:val="24"/>
              </w:rPr>
            </w:pPr>
            <w:r w:rsidRPr="000412A9">
              <w:rPr>
                <w:rFonts w:ascii="Times New Roman" w:hAnsi="Times New Roman" w:cs="Times New Roman"/>
                <w:sz w:val="24"/>
                <w:szCs w:val="24"/>
              </w:rPr>
              <w:t>% Iterations in which</w:t>
            </w:r>
          </w:p>
          <w:p w:rsidR="00B16B69" w:rsidRPr="000412A9" w:rsidRDefault="00B16B69" w:rsidP="00461113">
            <w:pPr>
              <w:jc w:val="center"/>
              <w:rPr>
                <w:rFonts w:ascii="Times New Roman" w:hAnsi="Times New Roman" w:cs="Times New Roman"/>
                <w:sz w:val="24"/>
                <w:szCs w:val="24"/>
              </w:rPr>
            </w:pPr>
            <w:r w:rsidRPr="000412A9">
              <w:rPr>
                <w:rFonts w:ascii="Times New Roman" w:hAnsi="Times New Roman" w:cs="Times New Roman"/>
                <w:sz w:val="24"/>
                <w:szCs w:val="24"/>
              </w:rPr>
              <w:t>Depletion &lt; Control</w:t>
            </w:r>
          </w:p>
        </w:tc>
        <w:tc>
          <w:tcPr>
            <w:tcW w:w="2419" w:type="dxa"/>
            <w:tcBorders>
              <w:top w:val="single" w:sz="8" w:space="0" w:color="000000"/>
              <w:bottom w:val="single" w:sz="8" w:space="0" w:color="000000"/>
            </w:tcBorders>
            <w:vAlign w:val="bottom"/>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Effect Size</w:t>
            </w:r>
          </w:p>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i/>
                <w:sz w:val="24"/>
                <w:szCs w:val="24"/>
              </w:rPr>
              <w:t>M</w:t>
            </w:r>
            <w:r w:rsidRPr="000412A9">
              <w:rPr>
                <w:rFonts w:ascii="Times New Roman" w:hAnsi="Times New Roman" w:cs="Times New Roman"/>
                <w:sz w:val="24"/>
                <w:szCs w:val="24"/>
              </w:rPr>
              <w:t xml:space="preserve"> [min, max]</w:t>
            </w:r>
          </w:p>
        </w:tc>
        <w:tc>
          <w:tcPr>
            <w:tcW w:w="2570"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 xml:space="preserve">% </w:t>
            </w:r>
            <w:r w:rsidRPr="000412A9">
              <w:rPr>
                <w:rFonts w:ascii="Times New Roman" w:hAnsi="Times New Roman" w:cs="Times New Roman"/>
                <w:i/>
                <w:sz w:val="24"/>
                <w:szCs w:val="24"/>
              </w:rPr>
              <w:t>p</w:t>
            </w:r>
            <w:r w:rsidRPr="000412A9">
              <w:rPr>
                <w:rFonts w:ascii="Times New Roman" w:hAnsi="Times New Roman" w:cs="Times New Roman"/>
                <w:sz w:val="24"/>
                <w:szCs w:val="24"/>
              </w:rPr>
              <w:t xml:space="preserve"> &lt; .05</w:t>
            </w:r>
          </w:p>
        </w:tc>
      </w:tr>
      <w:tr w:rsidR="00B16B69" w:rsidRPr="000412A9" w:rsidTr="00461113">
        <w:trPr>
          <w:trHeight w:val="453"/>
        </w:trPr>
        <w:tc>
          <w:tcPr>
            <w:tcW w:w="2228" w:type="dxa"/>
            <w:tcBorders>
              <w:top w:val="single" w:sz="8" w:space="0" w:color="000000"/>
            </w:tcBorders>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10</w:t>
            </w:r>
          </w:p>
        </w:tc>
        <w:tc>
          <w:tcPr>
            <w:tcW w:w="2359" w:type="dxa"/>
            <w:tcBorders>
              <w:top w:val="single" w:sz="8" w:space="0" w:color="000000"/>
              <w:left w:val="nil"/>
            </w:tcBorders>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30.60%</w:t>
            </w:r>
          </w:p>
        </w:tc>
        <w:tc>
          <w:tcPr>
            <w:tcW w:w="2419" w:type="dxa"/>
            <w:tcBorders>
              <w:top w:val="single" w:sz="8" w:space="0" w:color="000000"/>
            </w:tcBorders>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0.30 [0.02, 1.53]</w:t>
            </w:r>
          </w:p>
        </w:tc>
        <w:tc>
          <w:tcPr>
            <w:tcW w:w="2570" w:type="dxa"/>
            <w:tcBorders>
              <w:top w:val="single" w:sz="8" w:space="0" w:color="000000"/>
            </w:tcBorders>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3.60%</w:t>
            </w:r>
          </w:p>
        </w:tc>
      </w:tr>
      <w:tr w:rsidR="00B16B69" w:rsidRPr="000412A9" w:rsidTr="00461113">
        <w:trPr>
          <w:trHeight w:val="453"/>
        </w:trPr>
        <w:tc>
          <w:tcPr>
            <w:tcW w:w="2228" w:type="dxa"/>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20</w:t>
            </w:r>
          </w:p>
        </w:tc>
        <w:tc>
          <w:tcPr>
            <w:tcW w:w="2359" w:type="dxa"/>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22.10%</w:t>
            </w:r>
          </w:p>
        </w:tc>
        <w:tc>
          <w:tcPr>
            <w:tcW w:w="2419" w:type="dxa"/>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0.18 [0.01, 1.00]</w:t>
            </w:r>
          </w:p>
        </w:tc>
        <w:tc>
          <w:tcPr>
            <w:tcW w:w="2570" w:type="dxa"/>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1.40%</w:t>
            </w:r>
          </w:p>
        </w:tc>
      </w:tr>
      <w:tr w:rsidR="00B16B69" w:rsidRPr="000412A9" w:rsidTr="00461113">
        <w:trPr>
          <w:trHeight w:val="453"/>
        </w:trPr>
        <w:tc>
          <w:tcPr>
            <w:tcW w:w="2228" w:type="dxa"/>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30</w:t>
            </w:r>
          </w:p>
        </w:tc>
        <w:tc>
          <w:tcPr>
            <w:tcW w:w="2359" w:type="dxa"/>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16.80%</w:t>
            </w:r>
          </w:p>
        </w:tc>
        <w:tc>
          <w:tcPr>
            <w:tcW w:w="2419" w:type="dxa"/>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0.13 [0.01, 0.58]</w:t>
            </w:r>
          </w:p>
        </w:tc>
        <w:tc>
          <w:tcPr>
            <w:tcW w:w="2570" w:type="dxa"/>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0.60%</w:t>
            </w:r>
          </w:p>
        </w:tc>
      </w:tr>
      <w:tr w:rsidR="00B16B69" w:rsidRPr="000412A9" w:rsidTr="00461113">
        <w:trPr>
          <w:trHeight w:val="453"/>
        </w:trPr>
        <w:tc>
          <w:tcPr>
            <w:tcW w:w="2228" w:type="dxa"/>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40</w:t>
            </w:r>
          </w:p>
        </w:tc>
        <w:tc>
          <w:tcPr>
            <w:tcW w:w="2359" w:type="dxa"/>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11.30%</w:t>
            </w:r>
          </w:p>
        </w:tc>
        <w:tc>
          <w:tcPr>
            <w:tcW w:w="2419" w:type="dxa"/>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0.10 [0.01, 0.46]</w:t>
            </w:r>
          </w:p>
        </w:tc>
        <w:tc>
          <w:tcPr>
            <w:tcW w:w="2570" w:type="dxa"/>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0.90%</w:t>
            </w:r>
          </w:p>
        </w:tc>
      </w:tr>
      <w:tr w:rsidR="00B16B69" w:rsidRPr="000412A9" w:rsidTr="00461113">
        <w:trPr>
          <w:trHeight w:val="453"/>
        </w:trPr>
        <w:tc>
          <w:tcPr>
            <w:tcW w:w="2228" w:type="dxa"/>
            <w:tcBorders>
              <w:bottom w:val="single" w:sz="8" w:space="0" w:color="000000"/>
            </w:tcBorders>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50</w:t>
            </w:r>
          </w:p>
        </w:tc>
        <w:tc>
          <w:tcPr>
            <w:tcW w:w="2359" w:type="dxa"/>
            <w:tcBorders>
              <w:left w:val="nil"/>
              <w:bottom w:val="single" w:sz="8" w:space="0" w:color="000000"/>
            </w:tcBorders>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7.60%</w:t>
            </w:r>
          </w:p>
        </w:tc>
        <w:tc>
          <w:tcPr>
            <w:tcW w:w="2419" w:type="dxa"/>
            <w:tcBorders>
              <w:bottom w:val="single" w:sz="8" w:space="0" w:color="000000"/>
            </w:tcBorders>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0.07 [0.00, 0.28]</w:t>
            </w:r>
          </w:p>
        </w:tc>
        <w:tc>
          <w:tcPr>
            <w:tcW w:w="2570" w:type="dxa"/>
            <w:tcBorders>
              <w:bottom w:val="single" w:sz="8" w:space="0" w:color="000000"/>
            </w:tcBorders>
            <w:shd w:val="clear" w:color="auto" w:fill="auto"/>
            <w:tcMar>
              <w:top w:w="15" w:type="dxa"/>
              <w:left w:w="108" w:type="dxa"/>
              <w:bottom w:w="0" w:type="dxa"/>
              <w:right w:w="108" w:type="dxa"/>
            </w:tcMar>
            <w:hideMark/>
          </w:tcPr>
          <w:p w:rsidR="00B16B69" w:rsidRPr="000412A9" w:rsidRDefault="00B16B69" w:rsidP="00461113">
            <w:pPr>
              <w:ind w:left="720" w:hanging="720"/>
              <w:jc w:val="center"/>
              <w:rPr>
                <w:rFonts w:ascii="Times New Roman" w:hAnsi="Times New Roman" w:cs="Times New Roman"/>
                <w:sz w:val="24"/>
                <w:szCs w:val="24"/>
              </w:rPr>
            </w:pPr>
            <w:r w:rsidRPr="000412A9">
              <w:rPr>
                <w:rFonts w:ascii="Times New Roman" w:hAnsi="Times New Roman" w:cs="Times New Roman"/>
                <w:sz w:val="24"/>
                <w:szCs w:val="24"/>
              </w:rPr>
              <w:t>0.00%</w:t>
            </w:r>
          </w:p>
        </w:tc>
      </w:tr>
    </w:tbl>
    <w:p w:rsidR="00B16B69" w:rsidRPr="000412A9" w:rsidRDefault="00B16B69" w:rsidP="00B16B69">
      <w:pPr>
        <w:rPr>
          <w:rFonts w:ascii="Times New Roman" w:hAnsi="Times New Roman" w:cs="Times New Roman"/>
          <w:sz w:val="24"/>
          <w:szCs w:val="24"/>
        </w:rPr>
      </w:pPr>
      <w:r w:rsidRPr="000412A9">
        <w:rPr>
          <w:rFonts w:ascii="Times New Roman" w:hAnsi="Times New Roman" w:cs="Times New Roman"/>
          <w:i/>
          <w:sz w:val="24"/>
          <w:szCs w:val="24"/>
        </w:rPr>
        <w:t xml:space="preserve">Note.  </w:t>
      </w:r>
      <w:r w:rsidRPr="000412A9">
        <w:rPr>
          <w:rFonts w:ascii="Times New Roman" w:hAnsi="Times New Roman" w:cs="Times New Roman"/>
          <w:sz w:val="24"/>
          <w:szCs w:val="24"/>
        </w:rPr>
        <w:t xml:space="preserve">The final two columns reflect effect sizes and % significant </w:t>
      </w:r>
      <w:r w:rsidRPr="000412A9">
        <w:rPr>
          <w:rFonts w:ascii="Times New Roman" w:hAnsi="Times New Roman" w:cs="Times New Roman"/>
          <w:i/>
          <w:sz w:val="24"/>
          <w:szCs w:val="24"/>
        </w:rPr>
        <w:t>p</w:t>
      </w:r>
      <w:r w:rsidRPr="000412A9">
        <w:rPr>
          <w:rFonts w:ascii="Times New Roman" w:hAnsi="Times New Roman" w:cs="Times New Roman"/>
          <w:sz w:val="24"/>
          <w:szCs w:val="24"/>
        </w:rPr>
        <w:t xml:space="preserve">-values for only those cases in which Depletion &lt; Control.  Effect size: Cohen’s </w:t>
      </w:r>
      <w:r w:rsidRPr="000412A9">
        <w:rPr>
          <w:rFonts w:ascii="Times New Roman" w:hAnsi="Times New Roman" w:cs="Times New Roman"/>
          <w:i/>
          <w:sz w:val="24"/>
          <w:szCs w:val="24"/>
        </w:rPr>
        <w:t>d</w:t>
      </w:r>
      <w:r w:rsidRPr="000412A9">
        <w:rPr>
          <w:rFonts w:ascii="Times New Roman" w:hAnsi="Times New Roman" w:cs="Times New Roman"/>
          <w:sz w:val="24"/>
          <w:szCs w:val="24"/>
        </w:rPr>
        <w:t>.</w:t>
      </w:r>
    </w:p>
    <w:p w:rsidR="00CF4458" w:rsidRDefault="00CF4458">
      <w:pPr>
        <w:rPr>
          <w:rFonts w:ascii="Times New Roman" w:hAnsi="Times New Roman" w:cs="Times New Roman"/>
          <w:sz w:val="24"/>
          <w:szCs w:val="24"/>
        </w:rPr>
      </w:pPr>
      <w:r>
        <w:rPr>
          <w:rFonts w:ascii="Times New Roman" w:hAnsi="Times New Roman" w:cs="Times New Roman"/>
          <w:sz w:val="24"/>
          <w:szCs w:val="24"/>
        </w:rPr>
        <w:br w:type="page"/>
      </w:r>
    </w:p>
    <w:p w:rsidR="00CF4458" w:rsidRDefault="00CF4458" w:rsidP="00B16B69">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867400" cy="7559226"/>
            <wp:effectExtent l="0" t="0" r="0" b="3810"/>
            <wp:docPr id="1" name="Picture 1" descr="C:\Users\jolu8369\Dropbox\EF ID Project\Ego Depletion\Manuscript\PLOSONE Manuscript\Figures\Fi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u8369\Dropbox\EF ID Project\Ego Depletion\Manuscript\PLOSONE Manuscript\Figures\FigA.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7230" cy="7571890"/>
                    </a:xfrm>
                    <a:prstGeom prst="rect">
                      <a:avLst/>
                    </a:prstGeom>
                    <a:noFill/>
                    <a:ln>
                      <a:noFill/>
                    </a:ln>
                  </pic:spPr>
                </pic:pic>
              </a:graphicData>
            </a:graphic>
          </wp:inline>
        </w:drawing>
      </w:r>
    </w:p>
    <w:p w:rsidR="00CF4458" w:rsidRPr="00CF4458" w:rsidRDefault="00B16B69">
      <w:pPr>
        <w:rPr>
          <w:rFonts w:ascii="Times New Roman" w:hAnsi="Times New Roman" w:cs="Times New Roman"/>
          <w:sz w:val="24"/>
          <w:szCs w:val="24"/>
        </w:rPr>
      </w:pPr>
      <w:r w:rsidRPr="000412A9">
        <w:rPr>
          <w:rFonts w:ascii="Times New Roman" w:hAnsi="Times New Roman" w:cs="Times New Roman"/>
          <w:b/>
          <w:sz w:val="24"/>
          <w:szCs w:val="24"/>
        </w:rPr>
        <w:t>Fig</w:t>
      </w:r>
      <w:r w:rsidR="00E9331C" w:rsidRPr="000412A9">
        <w:rPr>
          <w:rFonts w:ascii="Times New Roman" w:hAnsi="Times New Roman" w:cs="Times New Roman"/>
          <w:b/>
          <w:sz w:val="24"/>
          <w:szCs w:val="24"/>
        </w:rPr>
        <w:t xml:space="preserve"> A</w:t>
      </w:r>
      <w:r w:rsidRPr="000412A9">
        <w:rPr>
          <w:rFonts w:ascii="Times New Roman" w:hAnsi="Times New Roman" w:cs="Times New Roman"/>
          <w:b/>
          <w:sz w:val="24"/>
          <w:szCs w:val="24"/>
        </w:rPr>
        <w:t xml:space="preserve">.  Distributions of p-values and effect sizes for ego-depletion effects (i.e., Depletion &lt; Control) observed at varying sample sizes.  </w:t>
      </w:r>
      <w:r w:rsidRPr="000412A9">
        <w:rPr>
          <w:rFonts w:ascii="Times New Roman" w:hAnsi="Times New Roman" w:cs="Times New Roman"/>
          <w:sz w:val="24"/>
          <w:szCs w:val="24"/>
        </w:rPr>
        <w:t>The dotted line reflects an alpha threshold of p &lt; .05.  Effect size: Cohen’s d.</w:t>
      </w:r>
      <w:r w:rsidR="00CF4458">
        <w:rPr>
          <w:rFonts w:ascii="Times New Roman" w:hAnsi="Times New Roman" w:cs="Times New Roman"/>
          <w:b/>
          <w:sz w:val="24"/>
          <w:szCs w:val="24"/>
        </w:rPr>
        <w:br w:type="page"/>
      </w:r>
    </w:p>
    <w:p w:rsidR="00B16B69" w:rsidRPr="000412A9" w:rsidRDefault="00B16B69" w:rsidP="00EC78F1">
      <w:pPr>
        <w:rPr>
          <w:rFonts w:ascii="Times New Roman" w:hAnsi="Times New Roman" w:cs="Times New Roman"/>
          <w:b/>
          <w:sz w:val="36"/>
          <w:szCs w:val="36"/>
        </w:rPr>
      </w:pPr>
      <w:r w:rsidRPr="000412A9">
        <w:rPr>
          <w:rFonts w:ascii="Times New Roman" w:hAnsi="Times New Roman" w:cs="Times New Roman"/>
          <w:b/>
          <w:sz w:val="36"/>
          <w:szCs w:val="36"/>
        </w:rPr>
        <w:lastRenderedPageBreak/>
        <w:t>References</w:t>
      </w:r>
    </w:p>
    <w:p w:rsidR="00EC78F1" w:rsidRPr="000412A9" w:rsidRDefault="00EC78F1" w:rsidP="00EC78F1">
      <w:pPr>
        <w:spacing w:before="100" w:beforeAutospacing="1" w:after="100" w:afterAutospacing="1"/>
        <w:ind w:left="720" w:hanging="720"/>
        <w:rPr>
          <w:rFonts w:ascii="Times New Roman" w:eastAsia="Times New Roman" w:hAnsi="Times New Roman" w:cs="Times New Roman"/>
          <w:sz w:val="24"/>
          <w:szCs w:val="24"/>
        </w:rPr>
      </w:pPr>
      <w:r w:rsidRPr="000412A9">
        <w:rPr>
          <w:rFonts w:ascii="Times New Roman" w:eastAsia="Times New Roman" w:hAnsi="Times New Roman" w:cs="Times New Roman"/>
          <w:sz w:val="24"/>
          <w:szCs w:val="24"/>
        </w:rPr>
        <w:t xml:space="preserve">1. </w:t>
      </w:r>
      <w:r w:rsidRPr="000412A9">
        <w:rPr>
          <w:rFonts w:ascii="Times New Roman" w:eastAsia="Times New Roman" w:hAnsi="Times New Roman" w:cs="Times New Roman"/>
          <w:sz w:val="24"/>
          <w:szCs w:val="24"/>
        </w:rPr>
        <w:tab/>
        <w:t xml:space="preserve">Hagger MS, Wood C, Stiff C, </w:t>
      </w:r>
      <w:proofErr w:type="spellStart"/>
      <w:r w:rsidRPr="000412A9">
        <w:rPr>
          <w:rFonts w:ascii="Times New Roman" w:eastAsia="Times New Roman" w:hAnsi="Times New Roman" w:cs="Times New Roman"/>
          <w:sz w:val="24"/>
          <w:szCs w:val="24"/>
        </w:rPr>
        <w:t>Chatzisarantis</w:t>
      </w:r>
      <w:proofErr w:type="spellEnd"/>
      <w:r w:rsidRPr="000412A9">
        <w:rPr>
          <w:rFonts w:ascii="Times New Roman" w:eastAsia="Times New Roman" w:hAnsi="Times New Roman" w:cs="Times New Roman"/>
          <w:sz w:val="24"/>
          <w:szCs w:val="24"/>
        </w:rPr>
        <w:t xml:space="preserve"> NLD. Ego depletion and the strength model of self-control: A meta-analysis. </w:t>
      </w:r>
      <w:proofErr w:type="spellStart"/>
      <w:r w:rsidRPr="000412A9">
        <w:rPr>
          <w:rFonts w:ascii="Times New Roman" w:eastAsia="Times New Roman" w:hAnsi="Times New Roman" w:cs="Times New Roman"/>
          <w:sz w:val="24"/>
          <w:szCs w:val="24"/>
        </w:rPr>
        <w:t>Psychol</w:t>
      </w:r>
      <w:proofErr w:type="spellEnd"/>
      <w:r w:rsidRPr="000412A9">
        <w:rPr>
          <w:rFonts w:ascii="Times New Roman" w:eastAsia="Times New Roman" w:hAnsi="Times New Roman" w:cs="Times New Roman"/>
          <w:sz w:val="24"/>
          <w:szCs w:val="24"/>
        </w:rPr>
        <w:t xml:space="preserve"> Bull. 2010</w:t>
      </w:r>
      <w:proofErr w:type="gramStart"/>
      <w:r w:rsidRPr="000412A9">
        <w:rPr>
          <w:rFonts w:ascii="Times New Roman" w:eastAsia="Times New Roman" w:hAnsi="Times New Roman" w:cs="Times New Roman"/>
          <w:sz w:val="24"/>
          <w:szCs w:val="24"/>
        </w:rPr>
        <w:t>;136</w:t>
      </w:r>
      <w:proofErr w:type="gramEnd"/>
      <w:r w:rsidRPr="000412A9">
        <w:rPr>
          <w:rFonts w:ascii="Times New Roman" w:eastAsia="Times New Roman" w:hAnsi="Times New Roman" w:cs="Times New Roman"/>
          <w:sz w:val="24"/>
          <w:szCs w:val="24"/>
        </w:rPr>
        <w:t xml:space="preserve">(4):495–525. </w:t>
      </w:r>
    </w:p>
    <w:p w:rsidR="00BA0F49" w:rsidRPr="000412A9" w:rsidRDefault="00EC78F1" w:rsidP="00EC78F1">
      <w:pPr>
        <w:spacing w:before="100" w:beforeAutospacing="1" w:after="100" w:afterAutospacing="1"/>
        <w:ind w:left="720" w:hanging="720"/>
        <w:rPr>
          <w:rFonts w:ascii="Times New Roman" w:hAnsi="Times New Roman" w:cs="Times New Roman"/>
          <w:sz w:val="24"/>
          <w:szCs w:val="24"/>
        </w:rPr>
      </w:pPr>
      <w:r w:rsidRPr="000412A9">
        <w:rPr>
          <w:rFonts w:ascii="Times New Roman" w:hAnsi="Times New Roman" w:cs="Times New Roman"/>
          <w:sz w:val="24"/>
          <w:szCs w:val="24"/>
        </w:rPr>
        <w:t>2</w:t>
      </w:r>
      <w:r w:rsidR="00BA0F49" w:rsidRPr="000412A9">
        <w:rPr>
          <w:rFonts w:ascii="Times New Roman" w:hAnsi="Times New Roman" w:cs="Times New Roman"/>
          <w:sz w:val="24"/>
          <w:szCs w:val="24"/>
        </w:rPr>
        <w:t xml:space="preserve">. </w:t>
      </w:r>
      <w:r w:rsidR="00BA0F49" w:rsidRPr="000412A9">
        <w:rPr>
          <w:rFonts w:ascii="Times New Roman" w:hAnsi="Times New Roman" w:cs="Times New Roman"/>
          <w:sz w:val="24"/>
          <w:szCs w:val="24"/>
        </w:rPr>
        <w:tab/>
      </w:r>
      <w:proofErr w:type="spellStart"/>
      <w:r w:rsidR="00BA0F49" w:rsidRPr="000412A9">
        <w:rPr>
          <w:rFonts w:ascii="Times New Roman" w:hAnsi="Times New Roman" w:cs="Times New Roman"/>
          <w:sz w:val="24"/>
          <w:szCs w:val="24"/>
        </w:rPr>
        <w:t>Efron</w:t>
      </w:r>
      <w:proofErr w:type="spellEnd"/>
      <w:r w:rsidR="00BA0F49" w:rsidRPr="000412A9">
        <w:rPr>
          <w:rFonts w:ascii="Times New Roman" w:hAnsi="Times New Roman" w:cs="Times New Roman"/>
          <w:sz w:val="24"/>
          <w:szCs w:val="24"/>
        </w:rPr>
        <w:t xml:space="preserve"> B, </w:t>
      </w:r>
      <w:proofErr w:type="spellStart"/>
      <w:r w:rsidR="00BA0F49" w:rsidRPr="000412A9">
        <w:rPr>
          <w:rFonts w:ascii="Times New Roman" w:hAnsi="Times New Roman" w:cs="Times New Roman"/>
          <w:sz w:val="24"/>
          <w:szCs w:val="24"/>
        </w:rPr>
        <w:t>Tibshirani</w:t>
      </w:r>
      <w:proofErr w:type="spellEnd"/>
      <w:r w:rsidR="00BA0F49" w:rsidRPr="000412A9">
        <w:rPr>
          <w:rFonts w:ascii="Times New Roman" w:hAnsi="Times New Roman" w:cs="Times New Roman"/>
          <w:sz w:val="24"/>
          <w:szCs w:val="24"/>
        </w:rPr>
        <w:t xml:space="preserve"> RJ. An introduction to the bootstrap. New York: Chapman &amp; Hall/CRC; 2003.</w:t>
      </w:r>
    </w:p>
    <w:p w:rsidR="00B16B69" w:rsidRPr="000412A9" w:rsidRDefault="00B16B69" w:rsidP="00EC78F1">
      <w:pPr>
        <w:spacing w:before="100" w:beforeAutospacing="1" w:after="100" w:afterAutospacing="1"/>
        <w:ind w:left="720" w:hanging="720"/>
        <w:rPr>
          <w:rFonts w:ascii="Times New Roman" w:hAnsi="Times New Roman" w:cs="Times New Roman"/>
        </w:rPr>
      </w:pPr>
    </w:p>
    <w:sectPr w:rsidR="00B16B69" w:rsidRPr="0004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00"/>
    <w:rsid w:val="00027B3B"/>
    <w:rsid w:val="000412A9"/>
    <w:rsid w:val="00201FAB"/>
    <w:rsid w:val="002B5200"/>
    <w:rsid w:val="002D2FD6"/>
    <w:rsid w:val="003F616E"/>
    <w:rsid w:val="004332EC"/>
    <w:rsid w:val="005D1864"/>
    <w:rsid w:val="00AC39B7"/>
    <w:rsid w:val="00AE02F1"/>
    <w:rsid w:val="00B16B69"/>
    <w:rsid w:val="00B43EE4"/>
    <w:rsid w:val="00BA0F49"/>
    <w:rsid w:val="00BD6794"/>
    <w:rsid w:val="00CF4458"/>
    <w:rsid w:val="00E65263"/>
    <w:rsid w:val="00E9331C"/>
    <w:rsid w:val="00EC78F1"/>
    <w:rsid w:val="00F03B76"/>
    <w:rsid w:val="00F5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24C45-8A1A-4E3A-AADE-7CF1E8CD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B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Lurquin</dc:creator>
  <cp:keywords/>
  <dc:description/>
  <cp:lastModifiedBy>John Lurquin</cp:lastModifiedBy>
  <cp:revision>16</cp:revision>
  <dcterms:created xsi:type="dcterms:W3CDTF">2015-12-23T22:34:00Z</dcterms:created>
  <dcterms:modified xsi:type="dcterms:W3CDTF">2016-01-12T20:27:00Z</dcterms:modified>
</cp:coreProperties>
</file>