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61CE4" w14:textId="362973C3" w:rsidR="00B453AC" w:rsidRDefault="00B453AC">
      <w:pPr>
        <w:widowControl/>
        <w:jc w:val="left"/>
        <w:rPr>
          <w:rFonts w:ascii="Calibri" w:hAnsi="Calibri"/>
        </w:rPr>
      </w:pPr>
    </w:p>
    <w:p w14:paraId="02BCD798" w14:textId="49DDB79C" w:rsidR="00B453AC" w:rsidRDefault="00B453AC" w:rsidP="00B453AC">
      <w:pPr>
        <w:rPr>
          <w:rFonts w:asciiTheme="majorHAnsi" w:hAnsiTheme="majorHAnsi"/>
          <w:b/>
        </w:rPr>
      </w:pPr>
      <w:r>
        <w:rPr>
          <w:rFonts w:asciiTheme="majorHAnsi" w:hAnsiTheme="majorHAnsi"/>
          <w:b/>
        </w:rPr>
        <w:t>S</w:t>
      </w:r>
      <w:r>
        <w:rPr>
          <w:rFonts w:asciiTheme="majorHAnsi" w:hAnsiTheme="majorHAnsi" w:hint="eastAsia"/>
          <w:b/>
        </w:rPr>
        <w:t xml:space="preserve">5 </w:t>
      </w:r>
      <w:r w:rsidR="00DE1CB8">
        <w:rPr>
          <w:rFonts w:asciiTheme="majorHAnsi" w:hAnsiTheme="majorHAnsi" w:hint="eastAsia"/>
          <w:b/>
        </w:rPr>
        <w:t>T</w:t>
      </w:r>
      <w:r w:rsidR="00DE1CB8">
        <w:rPr>
          <w:rFonts w:asciiTheme="majorHAnsi" w:hAnsiTheme="majorHAnsi"/>
          <w:b/>
        </w:rPr>
        <w:t>able</w:t>
      </w:r>
      <w:bookmarkStart w:id="0" w:name="_GoBack"/>
      <w:bookmarkEnd w:id="0"/>
      <w:r w:rsidRPr="00F537A0">
        <w:rPr>
          <w:rFonts w:asciiTheme="majorHAnsi" w:hAnsiTheme="majorHAnsi"/>
          <w:b/>
        </w:rPr>
        <w:t xml:space="preserve"> Genotype frequency of g1679C&gt;</w:t>
      </w:r>
      <w:r>
        <w:rPr>
          <w:rFonts w:asciiTheme="majorHAnsi" w:hAnsiTheme="majorHAnsi"/>
          <w:b/>
        </w:rPr>
        <w:t xml:space="preserve">G in </w:t>
      </w:r>
      <w:r>
        <w:rPr>
          <w:rFonts w:asciiTheme="majorHAnsi" w:hAnsiTheme="majorHAnsi" w:hint="eastAsia"/>
          <w:b/>
        </w:rPr>
        <w:t>different populations</w:t>
      </w:r>
    </w:p>
    <w:tbl>
      <w:tblPr>
        <w:tblW w:w="0" w:type="auto"/>
        <w:tblLook w:val="04A0" w:firstRow="1" w:lastRow="0" w:firstColumn="1" w:lastColumn="0" w:noHBand="0" w:noVBand="1"/>
      </w:tblPr>
      <w:tblGrid>
        <w:gridCol w:w="2412"/>
        <w:gridCol w:w="2567"/>
        <w:gridCol w:w="1865"/>
        <w:gridCol w:w="1272"/>
        <w:gridCol w:w="1230"/>
        <w:gridCol w:w="1230"/>
        <w:gridCol w:w="1230"/>
        <w:gridCol w:w="790"/>
      </w:tblGrid>
      <w:tr w:rsidR="00B453AC" w:rsidRPr="00F537A0" w14:paraId="36F28AA6" w14:textId="77777777" w:rsidTr="00383BEB">
        <w:trPr>
          <w:trHeight w:val="172"/>
        </w:trPr>
        <w:tc>
          <w:tcPr>
            <w:tcW w:w="0" w:type="auto"/>
            <w:gridSpan w:val="8"/>
            <w:tcBorders>
              <w:top w:val="nil"/>
              <w:left w:val="nil"/>
              <w:bottom w:val="single" w:sz="8" w:space="0" w:color="auto"/>
              <w:right w:val="nil"/>
            </w:tcBorders>
            <w:noWrap/>
            <w:vAlign w:val="center"/>
            <w:hideMark/>
          </w:tcPr>
          <w:p w14:paraId="21A7A1AF" w14:textId="77777777" w:rsidR="00B453AC" w:rsidRPr="00F537A0" w:rsidRDefault="00B453AC" w:rsidP="00383BEB">
            <w:pPr>
              <w:widowControl/>
              <w:spacing w:line="240" w:lineRule="exact"/>
              <w:jc w:val="left"/>
              <w:rPr>
                <w:rFonts w:asciiTheme="majorHAnsi" w:hAnsiTheme="majorHAnsi" w:cs="Calibri"/>
                <w:b/>
                <w:color w:val="000000"/>
                <w:kern w:val="0"/>
                <w:sz w:val="22"/>
                <w:szCs w:val="18"/>
              </w:rPr>
            </w:pPr>
          </w:p>
        </w:tc>
      </w:tr>
      <w:tr w:rsidR="00B453AC" w:rsidRPr="00F537A0" w14:paraId="3840D0D1" w14:textId="77777777" w:rsidTr="00383BEB">
        <w:trPr>
          <w:trHeight w:val="172"/>
        </w:trPr>
        <w:tc>
          <w:tcPr>
            <w:tcW w:w="0" w:type="auto"/>
            <w:gridSpan w:val="8"/>
            <w:tcBorders>
              <w:top w:val="single" w:sz="8" w:space="0" w:color="auto"/>
              <w:left w:val="nil"/>
              <w:bottom w:val="nil"/>
              <w:right w:val="nil"/>
            </w:tcBorders>
            <w:noWrap/>
            <w:vAlign w:val="center"/>
            <w:hideMark/>
          </w:tcPr>
          <w:p w14:paraId="11BDC525"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Genotype frequency of g1679C&gt;G</w:t>
            </w:r>
          </w:p>
        </w:tc>
      </w:tr>
      <w:tr w:rsidR="00B453AC" w:rsidRPr="00F537A0" w14:paraId="3CD94872" w14:textId="77777777" w:rsidTr="00383BEB">
        <w:trPr>
          <w:trHeight w:val="172"/>
        </w:trPr>
        <w:tc>
          <w:tcPr>
            <w:tcW w:w="0" w:type="auto"/>
            <w:gridSpan w:val="2"/>
            <w:tcBorders>
              <w:top w:val="single" w:sz="4" w:space="0" w:color="auto"/>
              <w:left w:val="nil"/>
              <w:bottom w:val="single" w:sz="4" w:space="0" w:color="auto"/>
              <w:right w:val="nil"/>
            </w:tcBorders>
            <w:noWrap/>
            <w:vAlign w:val="center"/>
            <w:hideMark/>
          </w:tcPr>
          <w:p w14:paraId="2997BA7E"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 xml:space="preserve">　</w:t>
            </w:r>
          </w:p>
        </w:tc>
        <w:tc>
          <w:tcPr>
            <w:tcW w:w="0" w:type="auto"/>
            <w:tcBorders>
              <w:top w:val="single" w:sz="4" w:space="0" w:color="auto"/>
              <w:left w:val="nil"/>
              <w:bottom w:val="single" w:sz="4" w:space="0" w:color="auto"/>
              <w:right w:val="nil"/>
            </w:tcBorders>
            <w:noWrap/>
            <w:vAlign w:val="center"/>
            <w:hideMark/>
          </w:tcPr>
          <w:p w14:paraId="3CDA4213"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 xml:space="preserve">　</w:t>
            </w:r>
          </w:p>
        </w:tc>
        <w:tc>
          <w:tcPr>
            <w:tcW w:w="0" w:type="auto"/>
            <w:tcBorders>
              <w:top w:val="single" w:sz="4" w:space="0" w:color="auto"/>
              <w:left w:val="nil"/>
              <w:bottom w:val="single" w:sz="4" w:space="0" w:color="auto"/>
              <w:right w:val="nil"/>
            </w:tcBorders>
            <w:noWrap/>
            <w:vAlign w:val="center"/>
            <w:hideMark/>
          </w:tcPr>
          <w:p w14:paraId="1C25A5A0"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 xml:space="preserve">　</w:t>
            </w:r>
          </w:p>
        </w:tc>
        <w:tc>
          <w:tcPr>
            <w:tcW w:w="0" w:type="auto"/>
            <w:tcBorders>
              <w:top w:val="single" w:sz="4" w:space="0" w:color="auto"/>
              <w:left w:val="nil"/>
              <w:bottom w:val="single" w:sz="4" w:space="0" w:color="auto"/>
              <w:right w:val="nil"/>
            </w:tcBorders>
            <w:noWrap/>
            <w:vAlign w:val="center"/>
            <w:hideMark/>
          </w:tcPr>
          <w:p w14:paraId="6B4FB2FB"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C/C</w:t>
            </w:r>
          </w:p>
        </w:tc>
        <w:tc>
          <w:tcPr>
            <w:tcW w:w="0" w:type="auto"/>
            <w:tcBorders>
              <w:top w:val="single" w:sz="4" w:space="0" w:color="auto"/>
              <w:left w:val="nil"/>
              <w:bottom w:val="single" w:sz="4" w:space="0" w:color="auto"/>
              <w:right w:val="nil"/>
            </w:tcBorders>
            <w:noWrap/>
            <w:vAlign w:val="center"/>
            <w:hideMark/>
          </w:tcPr>
          <w:p w14:paraId="6B922870"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C/G</w:t>
            </w:r>
          </w:p>
        </w:tc>
        <w:tc>
          <w:tcPr>
            <w:tcW w:w="0" w:type="auto"/>
            <w:tcBorders>
              <w:top w:val="single" w:sz="4" w:space="0" w:color="auto"/>
              <w:left w:val="nil"/>
              <w:bottom w:val="single" w:sz="4" w:space="0" w:color="auto"/>
              <w:right w:val="nil"/>
            </w:tcBorders>
            <w:noWrap/>
            <w:vAlign w:val="center"/>
            <w:hideMark/>
          </w:tcPr>
          <w:p w14:paraId="61264832"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G/G</w:t>
            </w:r>
          </w:p>
        </w:tc>
        <w:tc>
          <w:tcPr>
            <w:tcW w:w="0" w:type="auto"/>
            <w:tcBorders>
              <w:top w:val="single" w:sz="4" w:space="0" w:color="auto"/>
              <w:left w:val="nil"/>
              <w:bottom w:val="single" w:sz="4" w:space="0" w:color="auto"/>
              <w:right w:val="nil"/>
            </w:tcBorders>
            <w:noWrap/>
            <w:vAlign w:val="center"/>
            <w:hideMark/>
          </w:tcPr>
          <w:p w14:paraId="14AC9B94"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MAF%</w:t>
            </w:r>
          </w:p>
        </w:tc>
      </w:tr>
      <w:tr w:rsidR="00B453AC" w:rsidRPr="00F537A0" w14:paraId="264CB082" w14:textId="77777777" w:rsidTr="00383BEB">
        <w:trPr>
          <w:trHeight w:val="172"/>
        </w:trPr>
        <w:tc>
          <w:tcPr>
            <w:tcW w:w="0" w:type="auto"/>
            <w:noWrap/>
            <w:vAlign w:val="center"/>
            <w:hideMark/>
          </w:tcPr>
          <w:p w14:paraId="76BD026C"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This study</w:t>
            </w:r>
          </w:p>
        </w:tc>
        <w:tc>
          <w:tcPr>
            <w:tcW w:w="0" w:type="auto"/>
            <w:noWrap/>
            <w:vAlign w:val="center"/>
            <w:hideMark/>
          </w:tcPr>
          <w:p w14:paraId="4C12CE3D"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GSF</w:t>
            </w:r>
          </w:p>
        </w:tc>
        <w:tc>
          <w:tcPr>
            <w:tcW w:w="0" w:type="auto"/>
            <w:noWrap/>
            <w:vAlign w:val="center"/>
            <w:hideMark/>
          </w:tcPr>
          <w:p w14:paraId="087ECE4F"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Chinese</w:t>
            </w:r>
          </w:p>
        </w:tc>
        <w:tc>
          <w:tcPr>
            <w:tcW w:w="0" w:type="auto"/>
            <w:noWrap/>
            <w:vAlign w:val="center"/>
            <w:hideMark/>
          </w:tcPr>
          <w:p w14:paraId="03BD5F81"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Asian</w:t>
            </w:r>
          </w:p>
        </w:tc>
        <w:tc>
          <w:tcPr>
            <w:tcW w:w="0" w:type="auto"/>
            <w:noWrap/>
            <w:vAlign w:val="center"/>
            <w:hideMark/>
          </w:tcPr>
          <w:p w14:paraId="13059130"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0.46(242)</w:t>
            </w:r>
          </w:p>
        </w:tc>
        <w:tc>
          <w:tcPr>
            <w:tcW w:w="0" w:type="auto"/>
            <w:noWrap/>
            <w:vAlign w:val="center"/>
            <w:hideMark/>
          </w:tcPr>
          <w:p w14:paraId="579F9030"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0.41(212)</w:t>
            </w:r>
          </w:p>
        </w:tc>
        <w:tc>
          <w:tcPr>
            <w:tcW w:w="0" w:type="auto"/>
            <w:noWrap/>
            <w:vAlign w:val="center"/>
            <w:hideMark/>
          </w:tcPr>
          <w:p w14:paraId="1F6B72A8"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0.13(63)</w:t>
            </w:r>
          </w:p>
        </w:tc>
        <w:tc>
          <w:tcPr>
            <w:tcW w:w="0" w:type="auto"/>
            <w:noWrap/>
            <w:vAlign w:val="center"/>
            <w:hideMark/>
          </w:tcPr>
          <w:p w14:paraId="781A5C1D"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 xml:space="preserve">32.8 </w:t>
            </w:r>
          </w:p>
        </w:tc>
      </w:tr>
      <w:tr w:rsidR="00B453AC" w:rsidRPr="00F537A0" w14:paraId="57212A9A" w14:textId="77777777" w:rsidTr="00383BEB">
        <w:trPr>
          <w:trHeight w:val="172"/>
        </w:trPr>
        <w:tc>
          <w:tcPr>
            <w:tcW w:w="0" w:type="auto"/>
            <w:noWrap/>
            <w:vAlign w:val="center"/>
            <w:hideMark/>
          </w:tcPr>
          <w:p w14:paraId="671C3B53"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This study</w:t>
            </w:r>
          </w:p>
        </w:tc>
        <w:tc>
          <w:tcPr>
            <w:tcW w:w="0" w:type="auto"/>
            <w:noWrap/>
            <w:vAlign w:val="center"/>
            <w:hideMark/>
          </w:tcPr>
          <w:p w14:paraId="411CBFA9"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GS</w:t>
            </w:r>
          </w:p>
        </w:tc>
        <w:tc>
          <w:tcPr>
            <w:tcW w:w="0" w:type="auto"/>
            <w:noWrap/>
            <w:vAlign w:val="center"/>
            <w:hideMark/>
          </w:tcPr>
          <w:p w14:paraId="06F18E70"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Chinese</w:t>
            </w:r>
          </w:p>
        </w:tc>
        <w:tc>
          <w:tcPr>
            <w:tcW w:w="0" w:type="auto"/>
            <w:noWrap/>
            <w:vAlign w:val="center"/>
            <w:hideMark/>
          </w:tcPr>
          <w:p w14:paraId="7BF22292"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Asian</w:t>
            </w:r>
          </w:p>
        </w:tc>
        <w:tc>
          <w:tcPr>
            <w:tcW w:w="0" w:type="auto"/>
            <w:noWrap/>
            <w:vAlign w:val="center"/>
            <w:hideMark/>
          </w:tcPr>
          <w:p w14:paraId="13252A9C"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0.37(218)</w:t>
            </w:r>
          </w:p>
        </w:tc>
        <w:tc>
          <w:tcPr>
            <w:tcW w:w="0" w:type="auto"/>
            <w:noWrap/>
            <w:vAlign w:val="center"/>
            <w:hideMark/>
          </w:tcPr>
          <w:p w14:paraId="13E067FC"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0.48(282)</w:t>
            </w:r>
          </w:p>
        </w:tc>
        <w:tc>
          <w:tcPr>
            <w:tcW w:w="0" w:type="auto"/>
            <w:noWrap/>
            <w:vAlign w:val="center"/>
            <w:hideMark/>
          </w:tcPr>
          <w:p w14:paraId="2301E2B3"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0.15(87)</w:t>
            </w:r>
          </w:p>
        </w:tc>
        <w:tc>
          <w:tcPr>
            <w:tcW w:w="0" w:type="auto"/>
            <w:noWrap/>
            <w:vAlign w:val="center"/>
            <w:hideMark/>
          </w:tcPr>
          <w:p w14:paraId="1A62B0B1"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 xml:space="preserve">38.8 </w:t>
            </w:r>
          </w:p>
        </w:tc>
      </w:tr>
      <w:tr w:rsidR="00B453AC" w:rsidRPr="00F537A0" w14:paraId="645CAC12" w14:textId="77777777" w:rsidTr="00383BEB">
        <w:trPr>
          <w:trHeight w:val="172"/>
        </w:trPr>
        <w:tc>
          <w:tcPr>
            <w:tcW w:w="0" w:type="auto"/>
            <w:vMerge w:val="restart"/>
            <w:noWrap/>
            <w:hideMark/>
          </w:tcPr>
          <w:p w14:paraId="2E6C278B"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Chen CW et al</w:t>
            </w:r>
            <w:r w:rsidRPr="00F537A0">
              <w:rPr>
                <w:rFonts w:asciiTheme="majorHAnsi" w:hAnsiTheme="majorHAnsi" w:cs="Calibri"/>
                <w:noProof/>
                <w:color w:val="000000"/>
                <w:kern w:val="0"/>
                <w:sz w:val="22"/>
                <w:szCs w:val="18"/>
                <w:vertAlign w:val="superscript"/>
              </w:rPr>
              <w:t>[1]</w:t>
            </w:r>
          </w:p>
        </w:tc>
        <w:tc>
          <w:tcPr>
            <w:tcW w:w="0" w:type="auto"/>
            <w:noWrap/>
            <w:vAlign w:val="center"/>
            <w:hideMark/>
          </w:tcPr>
          <w:p w14:paraId="0635D1EC"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normocholesterolemic</w:t>
            </w:r>
          </w:p>
        </w:tc>
        <w:tc>
          <w:tcPr>
            <w:tcW w:w="0" w:type="auto"/>
            <w:noWrap/>
            <w:vAlign w:val="center"/>
            <w:hideMark/>
          </w:tcPr>
          <w:p w14:paraId="59C2F6B7"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Chinese</w:t>
            </w:r>
          </w:p>
        </w:tc>
        <w:tc>
          <w:tcPr>
            <w:tcW w:w="0" w:type="auto"/>
            <w:noWrap/>
            <w:vAlign w:val="center"/>
            <w:hideMark/>
          </w:tcPr>
          <w:p w14:paraId="277FBC39"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Asian</w:t>
            </w:r>
          </w:p>
        </w:tc>
        <w:tc>
          <w:tcPr>
            <w:tcW w:w="0" w:type="auto"/>
            <w:noWrap/>
            <w:vAlign w:val="center"/>
            <w:hideMark/>
          </w:tcPr>
          <w:p w14:paraId="6A64A634"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0.40(77)</w:t>
            </w:r>
          </w:p>
        </w:tc>
        <w:tc>
          <w:tcPr>
            <w:tcW w:w="0" w:type="auto"/>
            <w:noWrap/>
            <w:vAlign w:val="center"/>
            <w:hideMark/>
          </w:tcPr>
          <w:p w14:paraId="32490E61"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0.51(97)</w:t>
            </w:r>
          </w:p>
        </w:tc>
        <w:tc>
          <w:tcPr>
            <w:tcW w:w="0" w:type="auto"/>
            <w:noWrap/>
            <w:vAlign w:val="center"/>
            <w:hideMark/>
          </w:tcPr>
          <w:p w14:paraId="37B971E3"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0.09(18)</w:t>
            </w:r>
          </w:p>
        </w:tc>
        <w:tc>
          <w:tcPr>
            <w:tcW w:w="0" w:type="auto"/>
            <w:noWrap/>
            <w:vAlign w:val="center"/>
            <w:hideMark/>
          </w:tcPr>
          <w:p w14:paraId="6052D25A"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34.6</w:t>
            </w:r>
          </w:p>
        </w:tc>
      </w:tr>
      <w:tr w:rsidR="00B453AC" w:rsidRPr="00F537A0" w14:paraId="0E8610C9" w14:textId="77777777" w:rsidTr="00383BEB">
        <w:trPr>
          <w:trHeight w:val="155"/>
        </w:trPr>
        <w:tc>
          <w:tcPr>
            <w:tcW w:w="0" w:type="auto"/>
            <w:vMerge/>
            <w:vAlign w:val="center"/>
            <w:hideMark/>
          </w:tcPr>
          <w:p w14:paraId="52422586" w14:textId="77777777" w:rsidR="00B453AC" w:rsidRPr="00F537A0" w:rsidRDefault="00B453AC" w:rsidP="00383BEB">
            <w:pPr>
              <w:widowControl/>
              <w:jc w:val="left"/>
              <w:rPr>
                <w:rFonts w:asciiTheme="majorHAnsi" w:hAnsiTheme="majorHAnsi" w:cs="Calibri"/>
                <w:color w:val="000000"/>
                <w:kern w:val="0"/>
                <w:sz w:val="22"/>
                <w:szCs w:val="18"/>
              </w:rPr>
            </w:pPr>
          </w:p>
        </w:tc>
        <w:tc>
          <w:tcPr>
            <w:tcW w:w="0" w:type="auto"/>
            <w:noWrap/>
            <w:vAlign w:val="center"/>
            <w:hideMark/>
          </w:tcPr>
          <w:p w14:paraId="4EA6709A"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dyslipidemia</w:t>
            </w:r>
          </w:p>
        </w:tc>
        <w:tc>
          <w:tcPr>
            <w:tcW w:w="0" w:type="auto"/>
            <w:noWrap/>
            <w:vAlign w:val="center"/>
            <w:hideMark/>
          </w:tcPr>
          <w:p w14:paraId="623AA580"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Chinese</w:t>
            </w:r>
          </w:p>
        </w:tc>
        <w:tc>
          <w:tcPr>
            <w:tcW w:w="0" w:type="auto"/>
            <w:noWrap/>
            <w:vAlign w:val="center"/>
            <w:hideMark/>
          </w:tcPr>
          <w:p w14:paraId="7EEC0C5E"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Asian</w:t>
            </w:r>
          </w:p>
        </w:tc>
        <w:tc>
          <w:tcPr>
            <w:tcW w:w="0" w:type="auto"/>
            <w:noWrap/>
            <w:vAlign w:val="center"/>
            <w:hideMark/>
          </w:tcPr>
          <w:p w14:paraId="40A36F6E"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0.34(11)</w:t>
            </w:r>
          </w:p>
        </w:tc>
        <w:tc>
          <w:tcPr>
            <w:tcW w:w="0" w:type="auto"/>
            <w:noWrap/>
            <w:vAlign w:val="center"/>
            <w:hideMark/>
          </w:tcPr>
          <w:p w14:paraId="58F69D69"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0.47(15)</w:t>
            </w:r>
          </w:p>
        </w:tc>
        <w:tc>
          <w:tcPr>
            <w:tcW w:w="0" w:type="auto"/>
            <w:noWrap/>
            <w:vAlign w:val="center"/>
            <w:hideMark/>
          </w:tcPr>
          <w:p w14:paraId="0801A5CE"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0.19(6)</w:t>
            </w:r>
          </w:p>
        </w:tc>
        <w:tc>
          <w:tcPr>
            <w:tcW w:w="0" w:type="auto"/>
            <w:noWrap/>
            <w:vAlign w:val="center"/>
            <w:hideMark/>
          </w:tcPr>
          <w:p w14:paraId="42428F73"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 xml:space="preserve">42.2 </w:t>
            </w:r>
          </w:p>
        </w:tc>
      </w:tr>
      <w:tr w:rsidR="00B453AC" w:rsidRPr="00F537A0" w14:paraId="25DAB9EC" w14:textId="77777777" w:rsidTr="00383BEB">
        <w:trPr>
          <w:trHeight w:val="172"/>
        </w:trPr>
        <w:tc>
          <w:tcPr>
            <w:tcW w:w="0" w:type="auto"/>
            <w:vMerge w:val="restart"/>
            <w:noWrap/>
            <w:hideMark/>
          </w:tcPr>
          <w:p w14:paraId="483EB8F9"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Miao L et al</w:t>
            </w:r>
            <w:r w:rsidRPr="00F537A0">
              <w:rPr>
                <w:rFonts w:asciiTheme="majorHAnsi" w:hAnsiTheme="majorHAnsi" w:cs="Calibri"/>
                <w:noProof/>
                <w:color w:val="000000"/>
                <w:kern w:val="0"/>
                <w:sz w:val="22"/>
                <w:szCs w:val="18"/>
                <w:vertAlign w:val="superscript"/>
              </w:rPr>
              <w:t>[2]</w:t>
            </w:r>
          </w:p>
        </w:tc>
        <w:tc>
          <w:tcPr>
            <w:tcW w:w="0" w:type="auto"/>
            <w:noWrap/>
            <w:vAlign w:val="center"/>
            <w:hideMark/>
          </w:tcPr>
          <w:p w14:paraId="294B0D03"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normocholesterolemic</w:t>
            </w:r>
          </w:p>
        </w:tc>
        <w:tc>
          <w:tcPr>
            <w:tcW w:w="0" w:type="auto"/>
            <w:noWrap/>
            <w:vAlign w:val="center"/>
            <w:hideMark/>
          </w:tcPr>
          <w:p w14:paraId="3F3EFCCA"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Chinese(Han)</w:t>
            </w:r>
          </w:p>
        </w:tc>
        <w:tc>
          <w:tcPr>
            <w:tcW w:w="0" w:type="auto"/>
            <w:noWrap/>
            <w:vAlign w:val="center"/>
            <w:hideMark/>
          </w:tcPr>
          <w:p w14:paraId="6E749CE8"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Asian</w:t>
            </w:r>
          </w:p>
        </w:tc>
        <w:tc>
          <w:tcPr>
            <w:tcW w:w="0" w:type="auto"/>
            <w:noWrap/>
            <w:vAlign w:val="center"/>
            <w:hideMark/>
          </w:tcPr>
          <w:p w14:paraId="0AB47415"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0.39(290)</w:t>
            </w:r>
          </w:p>
        </w:tc>
        <w:tc>
          <w:tcPr>
            <w:tcW w:w="0" w:type="auto"/>
            <w:noWrap/>
            <w:vAlign w:val="center"/>
            <w:hideMark/>
          </w:tcPr>
          <w:p w14:paraId="47D61096"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0.47(346)</w:t>
            </w:r>
          </w:p>
        </w:tc>
        <w:tc>
          <w:tcPr>
            <w:tcW w:w="0" w:type="auto"/>
            <w:noWrap/>
            <w:vAlign w:val="center"/>
            <w:hideMark/>
          </w:tcPr>
          <w:p w14:paraId="7A4724DA"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0.14(102)</w:t>
            </w:r>
          </w:p>
        </w:tc>
        <w:tc>
          <w:tcPr>
            <w:tcW w:w="0" w:type="auto"/>
            <w:noWrap/>
            <w:vAlign w:val="center"/>
            <w:hideMark/>
          </w:tcPr>
          <w:p w14:paraId="165DC1A6"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 xml:space="preserve">37.3 </w:t>
            </w:r>
          </w:p>
        </w:tc>
      </w:tr>
      <w:tr w:rsidR="00B453AC" w:rsidRPr="00F537A0" w14:paraId="3E7E2218" w14:textId="77777777" w:rsidTr="00383BEB">
        <w:trPr>
          <w:trHeight w:val="155"/>
        </w:trPr>
        <w:tc>
          <w:tcPr>
            <w:tcW w:w="0" w:type="auto"/>
            <w:vMerge/>
            <w:vAlign w:val="center"/>
            <w:hideMark/>
          </w:tcPr>
          <w:p w14:paraId="531B6A8D" w14:textId="77777777" w:rsidR="00B453AC" w:rsidRPr="00F537A0" w:rsidRDefault="00B453AC" w:rsidP="00383BEB">
            <w:pPr>
              <w:widowControl/>
              <w:jc w:val="left"/>
              <w:rPr>
                <w:rFonts w:asciiTheme="majorHAnsi" w:hAnsiTheme="majorHAnsi" w:cs="Calibri"/>
                <w:color w:val="000000"/>
                <w:kern w:val="0"/>
                <w:sz w:val="22"/>
                <w:szCs w:val="18"/>
              </w:rPr>
            </w:pPr>
          </w:p>
        </w:tc>
        <w:tc>
          <w:tcPr>
            <w:tcW w:w="0" w:type="auto"/>
            <w:noWrap/>
            <w:vAlign w:val="center"/>
            <w:hideMark/>
          </w:tcPr>
          <w:p w14:paraId="5DD37891"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normocholesterolemic</w:t>
            </w:r>
          </w:p>
        </w:tc>
        <w:tc>
          <w:tcPr>
            <w:tcW w:w="0" w:type="auto"/>
            <w:noWrap/>
            <w:vAlign w:val="center"/>
            <w:hideMark/>
          </w:tcPr>
          <w:p w14:paraId="14C5283F"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Chinese(Mulao)</w:t>
            </w:r>
          </w:p>
        </w:tc>
        <w:tc>
          <w:tcPr>
            <w:tcW w:w="0" w:type="auto"/>
            <w:noWrap/>
            <w:vAlign w:val="center"/>
            <w:hideMark/>
          </w:tcPr>
          <w:p w14:paraId="6AA5BCFF"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Asian</w:t>
            </w:r>
          </w:p>
        </w:tc>
        <w:tc>
          <w:tcPr>
            <w:tcW w:w="0" w:type="auto"/>
            <w:noWrap/>
            <w:vAlign w:val="center"/>
            <w:hideMark/>
          </w:tcPr>
          <w:p w14:paraId="735060BE"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0.50(343)</w:t>
            </w:r>
          </w:p>
        </w:tc>
        <w:tc>
          <w:tcPr>
            <w:tcW w:w="0" w:type="auto"/>
            <w:noWrap/>
            <w:vAlign w:val="center"/>
            <w:hideMark/>
          </w:tcPr>
          <w:p w14:paraId="6D9C5E9E"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0.41(281)</w:t>
            </w:r>
          </w:p>
        </w:tc>
        <w:tc>
          <w:tcPr>
            <w:tcW w:w="0" w:type="auto"/>
            <w:noWrap/>
            <w:vAlign w:val="center"/>
            <w:hideMark/>
          </w:tcPr>
          <w:p w14:paraId="22E6CE82"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0.09(64)</w:t>
            </w:r>
          </w:p>
        </w:tc>
        <w:tc>
          <w:tcPr>
            <w:tcW w:w="0" w:type="auto"/>
            <w:noWrap/>
            <w:vAlign w:val="center"/>
            <w:hideMark/>
          </w:tcPr>
          <w:p w14:paraId="0B8D157D"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 xml:space="preserve">29.7 </w:t>
            </w:r>
          </w:p>
        </w:tc>
      </w:tr>
      <w:tr w:rsidR="00B453AC" w:rsidRPr="00F537A0" w14:paraId="6F6BA2D6" w14:textId="77777777" w:rsidTr="00383BEB">
        <w:trPr>
          <w:trHeight w:val="172"/>
        </w:trPr>
        <w:tc>
          <w:tcPr>
            <w:tcW w:w="0" w:type="auto"/>
            <w:noWrap/>
            <w:vAlign w:val="center"/>
            <w:hideMark/>
          </w:tcPr>
          <w:p w14:paraId="07EEC9B7"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Kashiwabara Y et al</w:t>
            </w:r>
            <w:r w:rsidRPr="00F537A0">
              <w:rPr>
                <w:rFonts w:asciiTheme="majorHAnsi" w:hAnsiTheme="majorHAnsi" w:cs="Calibri"/>
                <w:noProof/>
                <w:color w:val="000000"/>
                <w:kern w:val="0"/>
                <w:sz w:val="22"/>
                <w:szCs w:val="18"/>
                <w:vertAlign w:val="superscript"/>
              </w:rPr>
              <w:t>[3]</w:t>
            </w:r>
          </w:p>
        </w:tc>
        <w:tc>
          <w:tcPr>
            <w:tcW w:w="0" w:type="auto"/>
            <w:noWrap/>
            <w:vAlign w:val="center"/>
            <w:hideMark/>
          </w:tcPr>
          <w:p w14:paraId="6EBD2088"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dyslipidemia</w:t>
            </w:r>
          </w:p>
        </w:tc>
        <w:tc>
          <w:tcPr>
            <w:tcW w:w="0" w:type="auto"/>
            <w:noWrap/>
            <w:vAlign w:val="center"/>
            <w:hideMark/>
          </w:tcPr>
          <w:p w14:paraId="6896044E"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Japanese</w:t>
            </w:r>
          </w:p>
        </w:tc>
        <w:tc>
          <w:tcPr>
            <w:tcW w:w="0" w:type="auto"/>
            <w:noWrap/>
            <w:vAlign w:val="center"/>
            <w:hideMark/>
          </w:tcPr>
          <w:p w14:paraId="5E300AC3"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Asian</w:t>
            </w:r>
          </w:p>
        </w:tc>
        <w:tc>
          <w:tcPr>
            <w:tcW w:w="0" w:type="auto"/>
            <w:noWrap/>
            <w:vAlign w:val="center"/>
            <w:hideMark/>
          </w:tcPr>
          <w:p w14:paraId="7419C04A"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0.15(17)</w:t>
            </w:r>
          </w:p>
        </w:tc>
        <w:tc>
          <w:tcPr>
            <w:tcW w:w="0" w:type="auto"/>
            <w:noWrap/>
            <w:vAlign w:val="center"/>
            <w:hideMark/>
          </w:tcPr>
          <w:p w14:paraId="1AF2D4D7"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0.49(57)</w:t>
            </w:r>
          </w:p>
        </w:tc>
        <w:tc>
          <w:tcPr>
            <w:tcW w:w="0" w:type="auto"/>
            <w:noWrap/>
            <w:vAlign w:val="center"/>
            <w:hideMark/>
          </w:tcPr>
          <w:p w14:paraId="70DBFC9E"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0.36(41)</w:t>
            </w:r>
          </w:p>
        </w:tc>
        <w:tc>
          <w:tcPr>
            <w:tcW w:w="0" w:type="auto"/>
            <w:noWrap/>
            <w:vAlign w:val="center"/>
            <w:hideMark/>
          </w:tcPr>
          <w:p w14:paraId="4277224C"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 xml:space="preserve">60.4 </w:t>
            </w:r>
          </w:p>
        </w:tc>
      </w:tr>
      <w:tr w:rsidR="00B453AC" w:rsidRPr="00F537A0" w14:paraId="1C31D7D4" w14:textId="77777777" w:rsidTr="00383BEB">
        <w:trPr>
          <w:trHeight w:val="172"/>
        </w:trPr>
        <w:tc>
          <w:tcPr>
            <w:tcW w:w="0" w:type="auto"/>
            <w:noWrap/>
            <w:vAlign w:val="center"/>
            <w:hideMark/>
          </w:tcPr>
          <w:p w14:paraId="0F52D4CC"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Maeda T et al</w:t>
            </w:r>
            <w:r w:rsidRPr="00F537A0">
              <w:rPr>
                <w:rFonts w:asciiTheme="majorHAnsi" w:hAnsiTheme="majorHAnsi" w:cs="Calibri"/>
                <w:noProof/>
                <w:color w:val="000000"/>
                <w:kern w:val="0"/>
                <w:sz w:val="22"/>
                <w:szCs w:val="18"/>
                <w:vertAlign w:val="superscript"/>
              </w:rPr>
              <w:t>[4]</w:t>
            </w:r>
          </w:p>
        </w:tc>
        <w:tc>
          <w:tcPr>
            <w:tcW w:w="0" w:type="auto"/>
            <w:noWrap/>
            <w:vAlign w:val="center"/>
            <w:hideMark/>
          </w:tcPr>
          <w:p w14:paraId="77BA3CB2"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normocholesterolemic</w:t>
            </w:r>
          </w:p>
        </w:tc>
        <w:tc>
          <w:tcPr>
            <w:tcW w:w="0" w:type="auto"/>
            <w:noWrap/>
            <w:vAlign w:val="center"/>
            <w:hideMark/>
          </w:tcPr>
          <w:p w14:paraId="3EB76769"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Japanese</w:t>
            </w:r>
          </w:p>
        </w:tc>
        <w:tc>
          <w:tcPr>
            <w:tcW w:w="0" w:type="auto"/>
            <w:noWrap/>
            <w:vAlign w:val="center"/>
            <w:hideMark/>
          </w:tcPr>
          <w:p w14:paraId="1D06EC9B"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Asian</w:t>
            </w:r>
          </w:p>
        </w:tc>
        <w:tc>
          <w:tcPr>
            <w:tcW w:w="0" w:type="auto"/>
            <w:noWrap/>
            <w:vAlign w:val="center"/>
            <w:hideMark/>
          </w:tcPr>
          <w:p w14:paraId="2DAFB866"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0.35(50)</w:t>
            </w:r>
          </w:p>
        </w:tc>
        <w:tc>
          <w:tcPr>
            <w:tcW w:w="0" w:type="auto"/>
            <w:noWrap/>
            <w:vAlign w:val="center"/>
            <w:hideMark/>
          </w:tcPr>
          <w:p w14:paraId="4941DC79"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0.46(65)</w:t>
            </w:r>
          </w:p>
        </w:tc>
        <w:tc>
          <w:tcPr>
            <w:tcW w:w="0" w:type="auto"/>
            <w:noWrap/>
            <w:vAlign w:val="center"/>
            <w:hideMark/>
          </w:tcPr>
          <w:p w14:paraId="7EB3E95E"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0.19(27)</w:t>
            </w:r>
          </w:p>
        </w:tc>
        <w:tc>
          <w:tcPr>
            <w:tcW w:w="0" w:type="auto"/>
            <w:noWrap/>
            <w:vAlign w:val="center"/>
            <w:hideMark/>
          </w:tcPr>
          <w:p w14:paraId="570CAC10"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 xml:space="preserve">41.9 </w:t>
            </w:r>
          </w:p>
        </w:tc>
      </w:tr>
      <w:tr w:rsidR="00B453AC" w:rsidRPr="00F537A0" w14:paraId="21136FFA" w14:textId="77777777" w:rsidTr="00383BEB">
        <w:trPr>
          <w:trHeight w:val="172"/>
        </w:trPr>
        <w:tc>
          <w:tcPr>
            <w:tcW w:w="0" w:type="auto"/>
            <w:noWrap/>
            <w:vAlign w:val="center"/>
            <w:hideMark/>
          </w:tcPr>
          <w:p w14:paraId="3F3196B7"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Lupattelli G et al</w:t>
            </w:r>
            <w:r w:rsidRPr="00F537A0">
              <w:rPr>
                <w:rFonts w:asciiTheme="majorHAnsi" w:hAnsiTheme="majorHAnsi" w:cs="Calibri"/>
                <w:noProof/>
                <w:color w:val="000000"/>
                <w:kern w:val="0"/>
                <w:sz w:val="22"/>
                <w:szCs w:val="18"/>
                <w:vertAlign w:val="superscript"/>
              </w:rPr>
              <w:t>[5]</w:t>
            </w:r>
          </w:p>
        </w:tc>
        <w:tc>
          <w:tcPr>
            <w:tcW w:w="0" w:type="auto"/>
            <w:noWrap/>
            <w:vAlign w:val="center"/>
            <w:hideMark/>
          </w:tcPr>
          <w:p w14:paraId="6C6FB4E2"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dyslipidemia</w:t>
            </w:r>
          </w:p>
        </w:tc>
        <w:tc>
          <w:tcPr>
            <w:tcW w:w="0" w:type="auto"/>
            <w:noWrap/>
            <w:vAlign w:val="center"/>
            <w:hideMark/>
          </w:tcPr>
          <w:p w14:paraId="147B2A1B"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Italian</w:t>
            </w:r>
          </w:p>
        </w:tc>
        <w:tc>
          <w:tcPr>
            <w:tcW w:w="0" w:type="auto"/>
            <w:noWrap/>
            <w:vAlign w:val="center"/>
            <w:hideMark/>
          </w:tcPr>
          <w:p w14:paraId="540B05C7"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Caucasian</w:t>
            </w:r>
          </w:p>
        </w:tc>
        <w:tc>
          <w:tcPr>
            <w:tcW w:w="0" w:type="auto"/>
            <w:noWrap/>
            <w:vAlign w:val="center"/>
            <w:hideMark/>
          </w:tcPr>
          <w:p w14:paraId="45E9976F"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0.56(49)</w:t>
            </w:r>
          </w:p>
        </w:tc>
        <w:tc>
          <w:tcPr>
            <w:tcW w:w="0" w:type="auto"/>
            <w:noWrap/>
            <w:vAlign w:val="center"/>
            <w:hideMark/>
          </w:tcPr>
          <w:p w14:paraId="2D6345A2"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0.41(36)</w:t>
            </w:r>
          </w:p>
        </w:tc>
        <w:tc>
          <w:tcPr>
            <w:tcW w:w="0" w:type="auto"/>
            <w:noWrap/>
            <w:vAlign w:val="center"/>
            <w:hideMark/>
          </w:tcPr>
          <w:p w14:paraId="54731631"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0.02(2)</w:t>
            </w:r>
          </w:p>
        </w:tc>
        <w:tc>
          <w:tcPr>
            <w:tcW w:w="0" w:type="auto"/>
            <w:noWrap/>
            <w:vAlign w:val="center"/>
            <w:hideMark/>
          </w:tcPr>
          <w:p w14:paraId="5E27346F"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 xml:space="preserve">23.0 </w:t>
            </w:r>
          </w:p>
        </w:tc>
      </w:tr>
      <w:tr w:rsidR="00B453AC" w:rsidRPr="00F537A0" w14:paraId="400D67AA" w14:textId="77777777" w:rsidTr="00383BEB">
        <w:trPr>
          <w:trHeight w:val="172"/>
        </w:trPr>
        <w:tc>
          <w:tcPr>
            <w:tcW w:w="0" w:type="auto"/>
            <w:noWrap/>
            <w:vAlign w:val="center"/>
            <w:hideMark/>
          </w:tcPr>
          <w:p w14:paraId="01BB81A5"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Pisciotta L et al</w:t>
            </w:r>
            <w:r w:rsidRPr="00F537A0">
              <w:rPr>
                <w:rFonts w:asciiTheme="majorHAnsi" w:hAnsiTheme="majorHAnsi" w:cs="Calibri"/>
                <w:noProof/>
                <w:color w:val="000000"/>
                <w:kern w:val="0"/>
                <w:sz w:val="22"/>
                <w:szCs w:val="18"/>
                <w:vertAlign w:val="superscript"/>
              </w:rPr>
              <w:t>[6]</w:t>
            </w:r>
          </w:p>
        </w:tc>
        <w:tc>
          <w:tcPr>
            <w:tcW w:w="0" w:type="auto"/>
            <w:noWrap/>
            <w:vAlign w:val="center"/>
            <w:hideMark/>
          </w:tcPr>
          <w:p w14:paraId="116956C9"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dyslipidemia</w:t>
            </w:r>
          </w:p>
        </w:tc>
        <w:tc>
          <w:tcPr>
            <w:tcW w:w="0" w:type="auto"/>
            <w:noWrap/>
            <w:vAlign w:val="center"/>
            <w:hideMark/>
          </w:tcPr>
          <w:p w14:paraId="11330736"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Italian</w:t>
            </w:r>
          </w:p>
        </w:tc>
        <w:tc>
          <w:tcPr>
            <w:tcW w:w="0" w:type="auto"/>
            <w:noWrap/>
            <w:vAlign w:val="center"/>
            <w:hideMark/>
          </w:tcPr>
          <w:p w14:paraId="6DA850D8"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Caucasian</w:t>
            </w:r>
          </w:p>
        </w:tc>
        <w:tc>
          <w:tcPr>
            <w:tcW w:w="0" w:type="auto"/>
            <w:noWrap/>
            <w:vAlign w:val="center"/>
            <w:hideMark/>
          </w:tcPr>
          <w:p w14:paraId="6D327171"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0.63(44)</w:t>
            </w:r>
          </w:p>
        </w:tc>
        <w:tc>
          <w:tcPr>
            <w:tcW w:w="0" w:type="auto"/>
            <w:noWrap/>
            <w:vAlign w:val="center"/>
            <w:hideMark/>
          </w:tcPr>
          <w:p w14:paraId="4336E95F"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0.33(23)</w:t>
            </w:r>
          </w:p>
        </w:tc>
        <w:tc>
          <w:tcPr>
            <w:tcW w:w="0" w:type="auto"/>
            <w:noWrap/>
            <w:vAlign w:val="center"/>
            <w:hideMark/>
          </w:tcPr>
          <w:p w14:paraId="2CA3BBF4"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0.04(3)</w:t>
            </w:r>
          </w:p>
        </w:tc>
        <w:tc>
          <w:tcPr>
            <w:tcW w:w="0" w:type="auto"/>
            <w:noWrap/>
            <w:vAlign w:val="center"/>
            <w:hideMark/>
          </w:tcPr>
          <w:p w14:paraId="206E3C56"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 xml:space="preserve">20.7 </w:t>
            </w:r>
          </w:p>
        </w:tc>
      </w:tr>
      <w:tr w:rsidR="00B453AC" w:rsidRPr="00F537A0" w14:paraId="5420C9A8" w14:textId="77777777" w:rsidTr="00383BEB">
        <w:trPr>
          <w:trHeight w:val="172"/>
        </w:trPr>
        <w:tc>
          <w:tcPr>
            <w:tcW w:w="0" w:type="auto"/>
            <w:vMerge w:val="restart"/>
            <w:tcBorders>
              <w:top w:val="nil"/>
              <w:left w:val="nil"/>
              <w:bottom w:val="single" w:sz="8" w:space="0" w:color="000000"/>
              <w:right w:val="nil"/>
            </w:tcBorders>
            <w:noWrap/>
            <w:hideMark/>
          </w:tcPr>
          <w:p w14:paraId="5D4EB5FB"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Martín B et al</w:t>
            </w:r>
            <w:r w:rsidRPr="00F537A0">
              <w:rPr>
                <w:rFonts w:asciiTheme="majorHAnsi" w:hAnsiTheme="majorHAnsi" w:cs="Calibri"/>
                <w:noProof/>
                <w:color w:val="000000"/>
                <w:kern w:val="0"/>
                <w:sz w:val="22"/>
                <w:szCs w:val="18"/>
                <w:vertAlign w:val="superscript"/>
              </w:rPr>
              <w:t>[7]</w:t>
            </w:r>
          </w:p>
        </w:tc>
        <w:tc>
          <w:tcPr>
            <w:tcW w:w="0" w:type="auto"/>
            <w:noWrap/>
            <w:vAlign w:val="center"/>
            <w:hideMark/>
          </w:tcPr>
          <w:p w14:paraId="2FA83421"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normocholesterolemic</w:t>
            </w:r>
          </w:p>
        </w:tc>
        <w:tc>
          <w:tcPr>
            <w:tcW w:w="0" w:type="auto"/>
            <w:noWrap/>
            <w:vAlign w:val="center"/>
            <w:hideMark/>
          </w:tcPr>
          <w:p w14:paraId="62E49693"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Spanish</w:t>
            </w:r>
          </w:p>
        </w:tc>
        <w:tc>
          <w:tcPr>
            <w:tcW w:w="0" w:type="auto"/>
            <w:noWrap/>
            <w:vAlign w:val="center"/>
            <w:hideMark/>
          </w:tcPr>
          <w:p w14:paraId="76717544"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Caucasian</w:t>
            </w:r>
          </w:p>
        </w:tc>
        <w:tc>
          <w:tcPr>
            <w:tcW w:w="0" w:type="auto"/>
            <w:noWrap/>
            <w:vAlign w:val="center"/>
            <w:hideMark/>
          </w:tcPr>
          <w:p w14:paraId="79ACB92C"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0.57(155)</w:t>
            </w:r>
          </w:p>
        </w:tc>
        <w:tc>
          <w:tcPr>
            <w:tcW w:w="0" w:type="auto"/>
            <w:noWrap/>
            <w:vAlign w:val="center"/>
            <w:hideMark/>
          </w:tcPr>
          <w:p w14:paraId="7248B668"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0.39(107)</w:t>
            </w:r>
          </w:p>
        </w:tc>
        <w:tc>
          <w:tcPr>
            <w:tcW w:w="0" w:type="auto"/>
            <w:noWrap/>
            <w:vAlign w:val="center"/>
            <w:hideMark/>
          </w:tcPr>
          <w:p w14:paraId="6A8AA37F"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0.04(11)</w:t>
            </w:r>
          </w:p>
        </w:tc>
        <w:tc>
          <w:tcPr>
            <w:tcW w:w="0" w:type="auto"/>
            <w:noWrap/>
            <w:vAlign w:val="center"/>
            <w:hideMark/>
          </w:tcPr>
          <w:p w14:paraId="63AF38BE"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 xml:space="preserve">23.6 </w:t>
            </w:r>
          </w:p>
        </w:tc>
      </w:tr>
      <w:tr w:rsidR="00B453AC" w:rsidRPr="00F537A0" w14:paraId="78E6F0B7" w14:textId="77777777" w:rsidTr="00383BEB">
        <w:trPr>
          <w:trHeight w:val="155"/>
        </w:trPr>
        <w:tc>
          <w:tcPr>
            <w:tcW w:w="0" w:type="auto"/>
            <w:vMerge/>
            <w:tcBorders>
              <w:top w:val="nil"/>
              <w:left w:val="nil"/>
              <w:bottom w:val="single" w:sz="8" w:space="0" w:color="000000"/>
              <w:right w:val="nil"/>
            </w:tcBorders>
            <w:vAlign w:val="center"/>
            <w:hideMark/>
          </w:tcPr>
          <w:p w14:paraId="08E51CCF" w14:textId="77777777" w:rsidR="00B453AC" w:rsidRPr="00F537A0" w:rsidRDefault="00B453AC" w:rsidP="00383BEB">
            <w:pPr>
              <w:widowControl/>
              <w:jc w:val="left"/>
              <w:rPr>
                <w:rFonts w:asciiTheme="majorHAnsi" w:hAnsiTheme="majorHAnsi" w:cs="Calibri"/>
                <w:color w:val="000000"/>
                <w:kern w:val="0"/>
                <w:sz w:val="22"/>
                <w:szCs w:val="18"/>
              </w:rPr>
            </w:pPr>
          </w:p>
        </w:tc>
        <w:tc>
          <w:tcPr>
            <w:tcW w:w="0" w:type="auto"/>
            <w:tcBorders>
              <w:top w:val="nil"/>
              <w:left w:val="nil"/>
              <w:bottom w:val="single" w:sz="8" w:space="0" w:color="auto"/>
              <w:right w:val="nil"/>
            </w:tcBorders>
            <w:noWrap/>
            <w:vAlign w:val="center"/>
            <w:hideMark/>
          </w:tcPr>
          <w:p w14:paraId="588EDE74"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dyslipidemia</w:t>
            </w:r>
          </w:p>
        </w:tc>
        <w:tc>
          <w:tcPr>
            <w:tcW w:w="0" w:type="auto"/>
            <w:tcBorders>
              <w:top w:val="nil"/>
              <w:left w:val="nil"/>
              <w:bottom w:val="single" w:sz="8" w:space="0" w:color="auto"/>
              <w:right w:val="nil"/>
            </w:tcBorders>
            <w:noWrap/>
            <w:vAlign w:val="center"/>
            <w:hideMark/>
          </w:tcPr>
          <w:p w14:paraId="7BF8FD40"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Spanish</w:t>
            </w:r>
          </w:p>
        </w:tc>
        <w:tc>
          <w:tcPr>
            <w:tcW w:w="0" w:type="auto"/>
            <w:tcBorders>
              <w:top w:val="nil"/>
              <w:left w:val="nil"/>
              <w:bottom w:val="single" w:sz="8" w:space="0" w:color="auto"/>
              <w:right w:val="nil"/>
            </w:tcBorders>
            <w:noWrap/>
            <w:vAlign w:val="center"/>
            <w:hideMark/>
          </w:tcPr>
          <w:p w14:paraId="1A187CC9"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Caucasian</w:t>
            </w:r>
          </w:p>
        </w:tc>
        <w:tc>
          <w:tcPr>
            <w:tcW w:w="0" w:type="auto"/>
            <w:tcBorders>
              <w:top w:val="nil"/>
              <w:left w:val="nil"/>
              <w:bottom w:val="single" w:sz="8" w:space="0" w:color="auto"/>
              <w:right w:val="nil"/>
            </w:tcBorders>
            <w:noWrap/>
            <w:vAlign w:val="center"/>
            <w:hideMark/>
          </w:tcPr>
          <w:p w14:paraId="3877DA4D"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0.54(146)</w:t>
            </w:r>
          </w:p>
        </w:tc>
        <w:tc>
          <w:tcPr>
            <w:tcW w:w="0" w:type="auto"/>
            <w:tcBorders>
              <w:top w:val="nil"/>
              <w:left w:val="nil"/>
              <w:bottom w:val="single" w:sz="8" w:space="0" w:color="auto"/>
              <w:right w:val="nil"/>
            </w:tcBorders>
            <w:noWrap/>
            <w:vAlign w:val="center"/>
            <w:hideMark/>
          </w:tcPr>
          <w:p w14:paraId="68FE870C"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0.40(109)</w:t>
            </w:r>
          </w:p>
        </w:tc>
        <w:tc>
          <w:tcPr>
            <w:tcW w:w="0" w:type="auto"/>
            <w:tcBorders>
              <w:top w:val="nil"/>
              <w:left w:val="nil"/>
              <w:bottom w:val="single" w:sz="8" w:space="0" w:color="auto"/>
              <w:right w:val="nil"/>
            </w:tcBorders>
            <w:noWrap/>
            <w:vAlign w:val="center"/>
            <w:hideMark/>
          </w:tcPr>
          <w:p w14:paraId="078FD7B7"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0.06(17)</w:t>
            </w:r>
          </w:p>
        </w:tc>
        <w:tc>
          <w:tcPr>
            <w:tcW w:w="0" w:type="auto"/>
            <w:tcBorders>
              <w:top w:val="nil"/>
              <w:left w:val="nil"/>
              <w:bottom w:val="single" w:sz="8" w:space="0" w:color="auto"/>
              <w:right w:val="nil"/>
            </w:tcBorders>
            <w:noWrap/>
            <w:vAlign w:val="center"/>
            <w:hideMark/>
          </w:tcPr>
          <w:p w14:paraId="345340BA" w14:textId="77777777" w:rsidR="00B453AC" w:rsidRPr="00F537A0" w:rsidRDefault="00B453AC" w:rsidP="00383BEB">
            <w:pPr>
              <w:widowControl/>
              <w:spacing w:line="240" w:lineRule="exact"/>
              <w:jc w:val="center"/>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 xml:space="preserve">26.3 </w:t>
            </w:r>
          </w:p>
        </w:tc>
      </w:tr>
      <w:tr w:rsidR="00B453AC" w:rsidRPr="00F537A0" w14:paraId="24868AE0" w14:textId="77777777" w:rsidTr="00383BEB">
        <w:trPr>
          <w:trHeight w:val="172"/>
        </w:trPr>
        <w:tc>
          <w:tcPr>
            <w:tcW w:w="0" w:type="auto"/>
            <w:gridSpan w:val="7"/>
            <w:tcBorders>
              <w:top w:val="single" w:sz="8" w:space="0" w:color="auto"/>
              <w:left w:val="nil"/>
              <w:bottom w:val="nil"/>
              <w:right w:val="nil"/>
            </w:tcBorders>
            <w:noWrap/>
            <w:hideMark/>
          </w:tcPr>
          <w:p w14:paraId="4EAD91D1" w14:textId="77777777" w:rsidR="00B453AC" w:rsidRPr="00F537A0" w:rsidRDefault="00B453AC" w:rsidP="00383BEB">
            <w:pPr>
              <w:widowControl/>
              <w:spacing w:line="240" w:lineRule="exact"/>
              <w:jc w:val="left"/>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a, the genotype frequeny of 1679C&gt;G is significant different between Chinese to Janpanese, Italian, Spanish respectively(P&lt;0.001)</w:t>
            </w:r>
          </w:p>
        </w:tc>
        <w:tc>
          <w:tcPr>
            <w:tcW w:w="0" w:type="auto"/>
            <w:noWrap/>
            <w:vAlign w:val="center"/>
            <w:hideMark/>
          </w:tcPr>
          <w:p w14:paraId="73BFEA25" w14:textId="77777777" w:rsidR="00B453AC" w:rsidRPr="00F537A0" w:rsidRDefault="00B453AC" w:rsidP="00383BEB">
            <w:pPr>
              <w:widowControl/>
              <w:jc w:val="left"/>
              <w:rPr>
                <w:rFonts w:asciiTheme="majorHAnsi" w:hAnsiTheme="majorHAnsi"/>
                <w:sz w:val="32"/>
                <w:szCs w:val="22"/>
              </w:rPr>
            </w:pPr>
          </w:p>
        </w:tc>
      </w:tr>
      <w:tr w:rsidR="00B453AC" w:rsidRPr="00F537A0" w14:paraId="08FB241B" w14:textId="77777777" w:rsidTr="00383BEB">
        <w:trPr>
          <w:trHeight w:val="172"/>
        </w:trPr>
        <w:tc>
          <w:tcPr>
            <w:tcW w:w="0" w:type="auto"/>
            <w:gridSpan w:val="7"/>
            <w:noWrap/>
            <w:hideMark/>
          </w:tcPr>
          <w:p w14:paraId="588A698C" w14:textId="77777777" w:rsidR="00B453AC" w:rsidRPr="00F537A0" w:rsidRDefault="00B453AC" w:rsidP="00383BEB">
            <w:pPr>
              <w:widowControl/>
              <w:spacing w:line="240" w:lineRule="exact"/>
              <w:jc w:val="left"/>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b, the genotype frequeny of 1679C&gt;G is significant different between Janpanese to Italian, Spanish respectively(P&lt;0.001)</w:t>
            </w:r>
          </w:p>
        </w:tc>
        <w:tc>
          <w:tcPr>
            <w:tcW w:w="0" w:type="auto"/>
            <w:noWrap/>
            <w:vAlign w:val="center"/>
            <w:hideMark/>
          </w:tcPr>
          <w:p w14:paraId="51000636" w14:textId="77777777" w:rsidR="00B453AC" w:rsidRPr="00F537A0" w:rsidRDefault="00B453AC" w:rsidP="00383BEB">
            <w:pPr>
              <w:widowControl/>
              <w:jc w:val="left"/>
              <w:rPr>
                <w:rFonts w:asciiTheme="majorHAnsi" w:hAnsiTheme="majorHAnsi"/>
                <w:sz w:val="32"/>
                <w:szCs w:val="22"/>
              </w:rPr>
            </w:pPr>
          </w:p>
        </w:tc>
      </w:tr>
      <w:tr w:rsidR="00B453AC" w:rsidRPr="00F537A0" w14:paraId="6992AD74" w14:textId="77777777" w:rsidTr="00383BEB">
        <w:trPr>
          <w:trHeight w:val="172"/>
        </w:trPr>
        <w:tc>
          <w:tcPr>
            <w:tcW w:w="0" w:type="auto"/>
            <w:gridSpan w:val="7"/>
            <w:noWrap/>
            <w:hideMark/>
          </w:tcPr>
          <w:p w14:paraId="25A4D529" w14:textId="77777777" w:rsidR="00B453AC" w:rsidRPr="00F537A0" w:rsidRDefault="00B453AC" w:rsidP="00383BEB">
            <w:pPr>
              <w:widowControl/>
              <w:spacing w:line="240" w:lineRule="exact"/>
              <w:jc w:val="left"/>
              <w:rPr>
                <w:rFonts w:asciiTheme="majorHAnsi" w:hAnsiTheme="majorHAnsi" w:cs="Calibri"/>
                <w:color w:val="000000"/>
                <w:kern w:val="0"/>
                <w:sz w:val="22"/>
                <w:szCs w:val="18"/>
              </w:rPr>
            </w:pPr>
            <w:r w:rsidRPr="00F537A0">
              <w:rPr>
                <w:rFonts w:asciiTheme="majorHAnsi" w:hAnsiTheme="majorHAnsi" w:cs="Calibri"/>
                <w:color w:val="000000"/>
                <w:kern w:val="0"/>
                <w:sz w:val="22"/>
                <w:szCs w:val="18"/>
              </w:rPr>
              <w:t>c, no significant different between Italian to Spanish(P&lt;0.001)</w:t>
            </w:r>
          </w:p>
        </w:tc>
        <w:tc>
          <w:tcPr>
            <w:tcW w:w="0" w:type="auto"/>
            <w:noWrap/>
            <w:vAlign w:val="center"/>
            <w:hideMark/>
          </w:tcPr>
          <w:p w14:paraId="3F9245F5" w14:textId="77777777" w:rsidR="00B453AC" w:rsidRPr="00F537A0" w:rsidRDefault="00B453AC" w:rsidP="00383BEB">
            <w:pPr>
              <w:widowControl/>
              <w:jc w:val="left"/>
              <w:rPr>
                <w:rFonts w:asciiTheme="majorHAnsi" w:hAnsiTheme="majorHAnsi"/>
                <w:sz w:val="32"/>
                <w:szCs w:val="22"/>
              </w:rPr>
            </w:pPr>
          </w:p>
        </w:tc>
      </w:tr>
    </w:tbl>
    <w:p w14:paraId="3B153919" w14:textId="77777777" w:rsidR="00B453AC" w:rsidRDefault="00B453AC" w:rsidP="00B453AC">
      <w:pPr>
        <w:rPr>
          <w:rFonts w:ascii="Calibri" w:hAnsi="Calibri" w:cs="Calibri"/>
        </w:rPr>
      </w:pPr>
    </w:p>
    <w:p w14:paraId="383C3485" w14:textId="77777777" w:rsidR="00B453AC" w:rsidRDefault="00B453AC" w:rsidP="00B453AC">
      <w:pPr>
        <w:rPr>
          <w:rFonts w:ascii="Calibri" w:hAnsi="Calibri" w:cs="Calibri"/>
        </w:rPr>
      </w:pPr>
    </w:p>
    <w:p w14:paraId="78B7B43F" w14:textId="77777777" w:rsidR="00B453AC" w:rsidRPr="00DF6EA0" w:rsidRDefault="00B453AC" w:rsidP="00B453AC">
      <w:pPr>
        <w:rPr>
          <w:rFonts w:ascii="Calibri" w:hAnsi="Calibri" w:cs="Calibri"/>
          <w:b/>
        </w:rPr>
      </w:pPr>
      <w:r w:rsidRPr="00DF6EA0">
        <w:rPr>
          <w:rFonts w:ascii="Calibri" w:hAnsi="Calibri" w:cs="Calibri"/>
          <w:b/>
        </w:rPr>
        <w:t>Reference</w:t>
      </w:r>
      <w:r>
        <w:rPr>
          <w:rFonts w:ascii="Calibri" w:hAnsi="Calibri" w:cs="Calibri" w:hint="eastAsia"/>
          <w:b/>
        </w:rPr>
        <w:t>s</w:t>
      </w:r>
      <w:r w:rsidRPr="00DF6EA0">
        <w:rPr>
          <w:rFonts w:ascii="Calibri" w:hAnsi="Calibri" w:cs="Calibri"/>
          <w:b/>
        </w:rPr>
        <w:t xml:space="preserve"> </w:t>
      </w:r>
    </w:p>
    <w:p w14:paraId="3A8ABE3D" w14:textId="77777777" w:rsidR="00B453AC" w:rsidRDefault="00B453AC" w:rsidP="00B453AC">
      <w:pPr>
        <w:rPr>
          <w:rFonts w:ascii="Calibri" w:hAnsi="Calibri" w:cs="Calibri"/>
        </w:rPr>
      </w:pPr>
    </w:p>
    <w:p w14:paraId="77B0EC9E" w14:textId="77777777" w:rsidR="00B453AC" w:rsidRDefault="00B453AC" w:rsidP="00B453AC">
      <w:pPr>
        <w:pStyle w:val="EndNoteBibliography"/>
        <w:rPr>
          <w:rFonts w:ascii="Calibri" w:hAnsi="Calibri" w:cs="Calibri"/>
          <w:sz w:val="18"/>
          <w:szCs w:val="18"/>
        </w:rPr>
      </w:pPr>
      <w:r>
        <w:rPr>
          <w:rFonts w:ascii="Calibri" w:eastAsia="System" w:hAnsi="Calibri" w:cs="Calibri"/>
          <w:sz w:val="18"/>
          <w:szCs w:val="18"/>
        </w:rPr>
        <w:t>[</w:t>
      </w:r>
      <w:r>
        <w:rPr>
          <w:rFonts w:ascii="Calibri" w:hAnsi="Calibri" w:cs="Calibri"/>
          <w:sz w:val="18"/>
          <w:szCs w:val="18"/>
        </w:rPr>
        <w:t>1</w:t>
      </w:r>
      <w:r>
        <w:rPr>
          <w:rFonts w:ascii="Calibri" w:eastAsia="System" w:hAnsi="Calibri" w:cs="Calibri"/>
          <w:sz w:val="18"/>
          <w:szCs w:val="18"/>
        </w:rPr>
        <w:t xml:space="preserve">] </w:t>
      </w:r>
      <w:r>
        <w:rPr>
          <w:rFonts w:ascii="Calibri" w:hAnsi="Calibri" w:cs="Calibri"/>
          <w:sz w:val="18"/>
          <w:szCs w:val="18"/>
        </w:rPr>
        <w:t>Chen CW, Hwang JJ, Tsai CT, Su YN, Hsueh CH, Shen MJ, et al. The g.-762T&gt;C polymorphism of the NPC1L1 gene is common in Chinese and contributes to a higher promoter activity and higher serum cholesterol levels. Journal of human genetics. 2009;54(4):242-7.</w:t>
      </w:r>
    </w:p>
    <w:p w14:paraId="59726E05" w14:textId="77777777" w:rsidR="00B453AC" w:rsidRDefault="00B453AC" w:rsidP="00B453AC">
      <w:pPr>
        <w:pStyle w:val="EndNoteBibliography"/>
        <w:rPr>
          <w:rFonts w:ascii="Calibri" w:hAnsi="Calibri" w:cs="Calibri"/>
          <w:sz w:val="18"/>
          <w:szCs w:val="18"/>
        </w:rPr>
      </w:pPr>
      <w:r>
        <w:rPr>
          <w:rFonts w:ascii="Calibri" w:eastAsia="System" w:hAnsi="Calibri" w:cs="Calibri"/>
          <w:sz w:val="18"/>
          <w:szCs w:val="18"/>
        </w:rPr>
        <w:t>[</w:t>
      </w:r>
      <w:r>
        <w:rPr>
          <w:rFonts w:ascii="Calibri" w:hAnsi="Calibri" w:cs="Calibri"/>
          <w:sz w:val="18"/>
          <w:szCs w:val="18"/>
        </w:rPr>
        <w:t>2</w:t>
      </w:r>
      <w:r>
        <w:rPr>
          <w:rFonts w:ascii="Calibri" w:eastAsia="System" w:hAnsi="Calibri" w:cs="Calibri"/>
          <w:sz w:val="18"/>
          <w:szCs w:val="18"/>
        </w:rPr>
        <w:t xml:space="preserve">] </w:t>
      </w:r>
      <w:r>
        <w:rPr>
          <w:rFonts w:ascii="Calibri" w:hAnsi="Calibri" w:cs="Calibri"/>
          <w:sz w:val="18"/>
          <w:szCs w:val="18"/>
        </w:rPr>
        <w:t>Miao L, Yin RX, Hu XJ, Wu DF, Cao XL, Li Q, et al. Association of rs2072183 SNP and serum lipid levels in the Mulao and Han populations. Lipids in health and disease. 2012;11:61.</w:t>
      </w:r>
    </w:p>
    <w:p w14:paraId="15F3A324" w14:textId="77777777" w:rsidR="00B453AC" w:rsidRDefault="00B453AC" w:rsidP="00B453AC">
      <w:pPr>
        <w:pStyle w:val="EndNoteBibliography"/>
        <w:rPr>
          <w:rFonts w:ascii="Calibri" w:hAnsi="Calibri" w:cs="Calibri"/>
          <w:sz w:val="18"/>
          <w:szCs w:val="18"/>
        </w:rPr>
      </w:pPr>
      <w:r>
        <w:rPr>
          <w:rFonts w:ascii="Calibri" w:eastAsia="System" w:hAnsi="Calibri" w:cs="Calibri"/>
          <w:sz w:val="18"/>
          <w:szCs w:val="18"/>
        </w:rPr>
        <w:t>[</w:t>
      </w:r>
      <w:r>
        <w:rPr>
          <w:rFonts w:ascii="Calibri" w:hAnsi="Calibri" w:cs="Calibri"/>
          <w:sz w:val="18"/>
          <w:szCs w:val="18"/>
        </w:rPr>
        <w:t>3</w:t>
      </w:r>
      <w:r>
        <w:rPr>
          <w:rFonts w:ascii="Calibri" w:eastAsia="System" w:hAnsi="Calibri" w:cs="Calibri"/>
          <w:sz w:val="18"/>
          <w:szCs w:val="18"/>
        </w:rPr>
        <w:t xml:space="preserve">] </w:t>
      </w:r>
      <w:r>
        <w:rPr>
          <w:rFonts w:ascii="Calibri" w:hAnsi="Calibri" w:cs="Calibri"/>
          <w:sz w:val="18"/>
          <w:szCs w:val="18"/>
        </w:rPr>
        <w:t>Kashiwabara Y, Kobayashi Y, Koba S, Kohyama N, Ohbayashi M, Murayama JI, et al. Gene polymorphism and frequencies of the NPC1L1 Gene (rs2072183, rs217434 and rs217428) in Japanese patients with dyslipidemia. Journal of clinical pharmacy and therapeutics. 2014;39(5):551-4.</w:t>
      </w:r>
    </w:p>
    <w:p w14:paraId="3EC65014" w14:textId="77777777" w:rsidR="00B453AC" w:rsidRDefault="00B453AC" w:rsidP="00B453AC">
      <w:pPr>
        <w:pStyle w:val="EndNoteBibliography"/>
        <w:rPr>
          <w:rFonts w:ascii="Calibri" w:hAnsi="Calibri" w:cs="Calibri"/>
          <w:sz w:val="18"/>
          <w:szCs w:val="18"/>
        </w:rPr>
      </w:pPr>
      <w:r>
        <w:rPr>
          <w:rFonts w:ascii="Calibri" w:eastAsia="System" w:hAnsi="Calibri" w:cs="Calibri"/>
          <w:sz w:val="18"/>
          <w:szCs w:val="18"/>
        </w:rPr>
        <w:t>[</w:t>
      </w:r>
      <w:r>
        <w:rPr>
          <w:rFonts w:ascii="Calibri" w:hAnsi="Calibri" w:cs="Calibri"/>
          <w:sz w:val="18"/>
          <w:szCs w:val="18"/>
        </w:rPr>
        <w:t>4</w:t>
      </w:r>
      <w:r>
        <w:rPr>
          <w:rFonts w:ascii="Calibri" w:eastAsia="System" w:hAnsi="Calibri" w:cs="Calibri"/>
          <w:sz w:val="18"/>
          <w:szCs w:val="18"/>
        </w:rPr>
        <w:t xml:space="preserve">] </w:t>
      </w:r>
      <w:r>
        <w:rPr>
          <w:rFonts w:ascii="Calibri" w:hAnsi="Calibri" w:cs="Calibri"/>
          <w:sz w:val="18"/>
          <w:szCs w:val="18"/>
        </w:rPr>
        <w:t xml:space="preserve">Maeda T, Honda A, Ishikawa T, Kinoshita M, Mashimo Y, Takeoka Y, et al. A SNP of NPC1L1 affects cholesterol absorption in Japanese. Journal of atherosclerosis and thrombosis. </w:t>
      </w:r>
      <w:r>
        <w:rPr>
          <w:rFonts w:ascii="Calibri" w:hAnsi="Calibri" w:cs="Calibri"/>
          <w:sz w:val="18"/>
          <w:szCs w:val="18"/>
        </w:rPr>
        <w:lastRenderedPageBreak/>
        <w:t>2010;17(4):356-60.</w:t>
      </w:r>
    </w:p>
    <w:p w14:paraId="58FAEB5A" w14:textId="77777777" w:rsidR="00B453AC" w:rsidRDefault="00B453AC" w:rsidP="00B453AC">
      <w:pPr>
        <w:pStyle w:val="EndNoteBibliography"/>
        <w:rPr>
          <w:rFonts w:ascii="Calibri" w:hAnsi="Calibri" w:cs="Calibri"/>
          <w:sz w:val="18"/>
          <w:szCs w:val="18"/>
        </w:rPr>
      </w:pPr>
      <w:r>
        <w:rPr>
          <w:rFonts w:ascii="Calibri" w:eastAsia="System" w:hAnsi="Calibri" w:cs="Calibri"/>
          <w:sz w:val="18"/>
          <w:szCs w:val="18"/>
        </w:rPr>
        <w:t>[</w:t>
      </w:r>
      <w:r>
        <w:rPr>
          <w:rFonts w:ascii="Calibri" w:hAnsi="Calibri" w:cs="Calibri"/>
          <w:sz w:val="18"/>
          <w:szCs w:val="18"/>
        </w:rPr>
        <w:t>5</w:t>
      </w:r>
      <w:r>
        <w:rPr>
          <w:rFonts w:ascii="Calibri" w:eastAsia="System" w:hAnsi="Calibri" w:cs="Calibri"/>
          <w:sz w:val="18"/>
          <w:szCs w:val="18"/>
        </w:rPr>
        <w:t xml:space="preserve">] </w:t>
      </w:r>
      <w:r>
        <w:rPr>
          <w:rFonts w:ascii="Calibri" w:hAnsi="Calibri" w:cs="Calibri"/>
          <w:sz w:val="18"/>
          <w:szCs w:val="18"/>
        </w:rPr>
        <w:t>Lupattelli G, Pisciotta L, De Vuono S, Siepi D, Bellocchio A, Melis F, et al. A silent mutation of Niemann-Pick C1-like 1 and apolipoprotein E4 modulate cholesterol absorption in primary hyperlipidemias. Journal of clinical lipidology. 2013;7(2):147-52.</w:t>
      </w:r>
    </w:p>
    <w:p w14:paraId="2D23BE9A" w14:textId="77777777" w:rsidR="00B453AC" w:rsidRDefault="00B453AC" w:rsidP="00B453AC">
      <w:pPr>
        <w:pStyle w:val="EndNoteBibliography"/>
        <w:rPr>
          <w:rFonts w:ascii="Calibri" w:hAnsi="Calibri" w:cs="Calibri"/>
          <w:sz w:val="18"/>
          <w:szCs w:val="18"/>
        </w:rPr>
      </w:pPr>
      <w:r>
        <w:rPr>
          <w:rFonts w:ascii="Calibri" w:eastAsia="System" w:hAnsi="Calibri" w:cs="Calibri"/>
          <w:sz w:val="18"/>
          <w:szCs w:val="18"/>
        </w:rPr>
        <w:t>[</w:t>
      </w:r>
      <w:r>
        <w:rPr>
          <w:rFonts w:ascii="Calibri" w:hAnsi="Calibri" w:cs="Calibri"/>
          <w:sz w:val="18"/>
          <w:szCs w:val="18"/>
        </w:rPr>
        <w:t>6</w:t>
      </w:r>
      <w:r>
        <w:rPr>
          <w:rFonts w:ascii="Calibri" w:eastAsia="System" w:hAnsi="Calibri" w:cs="Calibri"/>
          <w:sz w:val="18"/>
          <w:szCs w:val="18"/>
        </w:rPr>
        <w:t xml:space="preserve">] </w:t>
      </w:r>
      <w:r>
        <w:rPr>
          <w:rFonts w:ascii="Calibri" w:hAnsi="Calibri" w:cs="Calibri"/>
          <w:sz w:val="18"/>
          <w:szCs w:val="18"/>
        </w:rPr>
        <w:t>Pisciotta L, Bellocchio A, Bertolini S. Nutraceutical pill containing berberine versus ezetimibe on plasma lipid pattern in hypercholesterolemic subjects and its additive effect in patients with familial hypercholesterolemia on stable cholesterol-lowering treatment. Lipids in health and disease. 2012;11:123.</w:t>
      </w:r>
    </w:p>
    <w:p w14:paraId="4F53EACB" w14:textId="77777777" w:rsidR="00B453AC" w:rsidRDefault="00B453AC" w:rsidP="00B453AC">
      <w:pPr>
        <w:pStyle w:val="EndNoteBibliography"/>
        <w:rPr>
          <w:rFonts w:ascii="Calibri" w:hAnsi="Calibri" w:cs="Calibri"/>
          <w:sz w:val="18"/>
          <w:szCs w:val="18"/>
        </w:rPr>
      </w:pPr>
      <w:r>
        <w:rPr>
          <w:rFonts w:ascii="Calibri" w:eastAsia="System" w:hAnsi="Calibri" w:cs="Calibri"/>
          <w:sz w:val="18"/>
          <w:szCs w:val="18"/>
        </w:rPr>
        <w:t>[</w:t>
      </w:r>
      <w:r>
        <w:rPr>
          <w:rFonts w:ascii="Calibri" w:hAnsi="Calibri" w:cs="Calibri"/>
          <w:sz w:val="18"/>
          <w:szCs w:val="18"/>
        </w:rPr>
        <w:t>7</w:t>
      </w:r>
      <w:r>
        <w:rPr>
          <w:rFonts w:ascii="Calibri" w:eastAsia="System" w:hAnsi="Calibri" w:cs="Calibri"/>
          <w:sz w:val="18"/>
          <w:szCs w:val="18"/>
        </w:rPr>
        <w:t xml:space="preserve">] </w:t>
      </w:r>
      <w:r>
        <w:rPr>
          <w:rFonts w:ascii="Calibri" w:hAnsi="Calibri" w:cs="Calibri"/>
          <w:sz w:val="18"/>
          <w:szCs w:val="18"/>
        </w:rPr>
        <w:t>Martin B, Solanas-Barca M, Garcia-Otin AL, Pampin S, Cofan M, Ros E, et al. An NPC1L1 gene promoter variant is associated with autosomal dominant hypercholesterolemia. Nutrition, metabolism, and cardiovascular diseases : NMCD. 2010;20(4):236-42.</w:t>
      </w:r>
    </w:p>
    <w:p w14:paraId="624EC3DD" w14:textId="77777777" w:rsidR="00EB1129" w:rsidRPr="00D95EF6" w:rsidRDefault="00EB1129" w:rsidP="00D95EF6">
      <w:pPr>
        <w:jc w:val="left"/>
        <w:rPr>
          <w:rFonts w:ascii="Calibri" w:hAnsi="Calibri"/>
        </w:rPr>
      </w:pPr>
    </w:p>
    <w:sectPr w:rsidR="00EB1129" w:rsidRPr="00D95EF6" w:rsidSect="0082592A">
      <w:pgSz w:w="16840" w:h="11900" w:orient="landscape"/>
      <w:pgMar w:top="1800" w:right="1440" w:bottom="1800" w:left="144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stem">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42"/>
    <w:rsid w:val="00007958"/>
    <w:rsid w:val="00041A04"/>
    <w:rsid w:val="000A3310"/>
    <w:rsid w:val="000A5EF6"/>
    <w:rsid w:val="000C3B13"/>
    <w:rsid w:val="000C5D42"/>
    <w:rsid w:val="000D57CD"/>
    <w:rsid w:val="001C21F4"/>
    <w:rsid w:val="002116C1"/>
    <w:rsid w:val="00312306"/>
    <w:rsid w:val="00390BCF"/>
    <w:rsid w:val="003E0063"/>
    <w:rsid w:val="003E4765"/>
    <w:rsid w:val="0046446A"/>
    <w:rsid w:val="00470B66"/>
    <w:rsid w:val="00496BB6"/>
    <w:rsid w:val="00530CF4"/>
    <w:rsid w:val="0053453F"/>
    <w:rsid w:val="005900A3"/>
    <w:rsid w:val="00613BCB"/>
    <w:rsid w:val="00653890"/>
    <w:rsid w:val="00791F3C"/>
    <w:rsid w:val="007B6873"/>
    <w:rsid w:val="007E3CC3"/>
    <w:rsid w:val="0080028E"/>
    <w:rsid w:val="00805D19"/>
    <w:rsid w:val="0082592A"/>
    <w:rsid w:val="00827F2C"/>
    <w:rsid w:val="008557A5"/>
    <w:rsid w:val="0086266A"/>
    <w:rsid w:val="00873C41"/>
    <w:rsid w:val="00874B86"/>
    <w:rsid w:val="008E0AB1"/>
    <w:rsid w:val="0099261E"/>
    <w:rsid w:val="009A5E7E"/>
    <w:rsid w:val="009B6D5F"/>
    <w:rsid w:val="009F6A72"/>
    <w:rsid w:val="00A36C75"/>
    <w:rsid w:val="00A40833"/>
    <w:rsid w:val="00A8407B"/>
    <w:rsid w:val="00B12A48"/>
    <w:rsid w:val="00B421BE"/>
    <w:rsid w:val="00B453AC"/>
    <w:rsid w:val="00C17619"/>
    <w:rsid w:val="00C23385"/>
    <w:rsid w:val="00C32E3A"/>
    <w:rsid w:val="00C34D50"/>
    <w:rsid w:val="00CD4E91"/>
    <w:rsid w:val="00CD6CC9"/>
    <w:rsid w:val="00CF3DCB"/>
    <w:rsid w:val="00D071E7"/>
    <w:rsid w:val="00D63938"/>
    <w:rsid w:val="00D76B94"/>
    <w:rsid w:val="00D95EF6"/>
    <w:rsid w:val="00DA562A"/>
    <w:rsid w:val="00DC2BB5"/>
    <w:rsid w:val="00DE1CB8"/>
    <w:rsid w:val="00DF6EA0"/>
    <w:rsid w:val="00E9226F"/>
    <w:rsid w:val="00EA400D"/>
    <w:rsid w:val="00EB1129"/>
    <w:rsid w:val="00EB1F6B"/>
    <w:rsid w:val="00ED0054"/>
    <w:rsid w:val="00F537A0"/>
    <w:rsid w:val="00FF0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178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1129"/>
    <w:pPr>
      <w:ind w:firstLineChars="200" w:firstLine="420"/>
    </w:pPr>
  </w:style>
  <w:style w:type="character" w:customStyle="1" w:styleId="EndNoteBibliographyChar">
    <w:name w:val="EndNote Bibliography Char"/>
    <w:basedOn w:val="a0"/>
    <w:link w:val="EndNoteBibliography"/>
    <w:locked/>
    <w:rsid w:val="00F537A0"/>
    <w:rPr>
      <w:rFonts w:ascii="Times New Roman" w:eastAsia="宋体" w:hAnsi="Times New Roman"/>
      <w:noProof/>
    </w:rPr>
  </w:style>
  <w:style w:type="paragraph" w:customStyle="1" w:styleId="EndNoteBibliography">
    <w:name w:val="EndNote Bibliography"/>
    <w:basedOn w:val="a"/>
    <w:link w:val="EndNoteBibliographyChar"/>
    <w:rsid w:val="00F537A0"/>
    <w:rPr>
      <w:rFonts w:ascii="Times New Roman" w:eastAsia="宋体" w:hAnsi="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1129"/>
    <w:pPr>
      <w:ind w:firstLineChars="200" w:firstLine="420"/>
    </w:pPr>
  </w:style>
  <w:style w:type="character" w:customStyle="1" w:styleId="EndNoteBibliographyChar">
    <w:name w:val="EndNote Bibliography Char"/>
    <w:basedOn w:val="a0"/>
    <w:link w:val="EndNoteBibliography"/>
    <w:locked/>
    <w:rsid w:val="00F537A0"/>
    <w:rPr>
      <w:rFonts w:ascii="Times New Roman" w:eastAsia="宋体" w:hAnsi="Times New Roman"/>
      <w:noProof/>
    </w:rPr>
  </w:style>
  <w:style w:type="paragraph" w:customStyle="1" w:styleId="EndNoteBibliography">
    <w:name w:val="EndNote Bibliography"/>
    <w:basedOn w:val="a"/>
    <w:link w:val="EndNoteBibliographyChar"/>
    <w:rsid w:val="00F537A0"/>
    <w:rPr>
      <w:rFonts w:ascii="Times New Roman" w:eastAsia="宋体"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Macintosh Word</Application>
  <DocSecurity>0</DocSecurity>
  <Lines>22</Lines>
  <Paragraphs>6</Paragraphs>
  <ScaleCrop>false</ScaleCrop>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兆彦 蒋</dc:creator>
  <cp:keywords/>
  <dc:description/>
  <cp:lastModifiedBy>兆彦 蒋</cp:lastModifiedBy>
  <cp:revision>3</cp:revision>
  <dcterms:created xsi:type="dcterms:W3CDTF">2015-12-20T15:11:00Z</dcterms:created>
  <dcterms:modified xsi:type="dcterms:W3CDTF">2015-12-20T15:11:00Z</dcterms:modified>
</cp:coreProperties>
</file>