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E2" w:rsidRDefault="00F41FE2" w:rsidP="00F41FE2">
      <w:pPr>
        <w:bidi w:val="0"/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eastAsia="da-DK" w:bidi="ar-SA"/>
        </w:rPr>
      </w:pPr>
      <w:bookmarkStart w:id="0" w:name="_GoBack"/>
      <w:bookmarkEnd w:id="0"/>
      <w:r w:rsidRPr="00BD7B3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 w:bidi="ar-SA"/>
        </w:rPr>
        <w:t>S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 w:bidi="ar-SA"/>
        </w:rPr>
        <w:t xml:space="preserve">3 </w:t>
      </w:r>
      <w:r w:rsidRPr="00BD7B3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 w:bidi="ar-SA"/>
        </w:rPr>
        <w:t xml:space="preserve">Table: </w:t>
      </w:r>
      <w:r w:rsidRPr="00D5195A">
        <w:rPr>
          <w:rFonts w:asciiTheme="majorHAnsi" w:eastAsiaTheme="majorEastAsia" w:hAnsiTheme="majorHAnsi" w:cstheme="majorBidi"/>
          <w:b/>
          <w:bCs/>
          <w:sz w:val="24"/>
          <w:szCs w:val="24"/>
          <w:lang w:eastAsia="da-DK" w:bidi="ar-SA"/>
        </w:rPr>
        <w:t>Types of ACR20 discrepancies, where discrepancies were observed between data reviewed by the FDA and data published in peer-review journals</w:t>
      </w:r>
    </w:p>
    <w:p w:rsidR="00F41FE2" w:rsidRDefault="00F41FE2" w:rsidP="00F41FE2">
      <w:pPr>
        <w:bidi w:val="0"/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eastAsia="da-DK" w:bidi="ar-SA"/>
        </w:rPr>
      </w:pPr>
    </w:p>
    <w:p w:rsidR="00F41FE2" w:rsidRDefault="00F41FE2" w:rsidP="00F41FE2">
      <w:pPr>
        <w:bidi w:val="0"/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eastAsia="da-DK" w:bidi="ar-SA"/>
        </w:rPr>
      </w:pPr>
    </w:p>
    <w:p w:rsidR="00F41FE2" w:rsidRDefault="00F41FE2" w:rsidP="00F41FE2">
      <w:pPr>
        <w:bidi w:val="0"/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eastAsia="da-DK" w:bidi="ar-SA"/>
        </w:rPr>
      </w:pPr>
    </w:p>
    <w:p w:rsidR="00F41FE2" w:rsidRPr="00D5195A" w:rsidRDefault="00F41FE2" w:rsidP="00F41FE2">
      <w:pPr>
        <w:bidi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 w:bidi="ar-SA"/>
        </w:rPr>
      </w:pPr>
    </w:p>
    <w:tbl>
      <w:tblPr>
        <w:tblW w:w="13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552"/>
        <w:gridCol w:w="905"/>
        <w:gridCol w:w="761"/>
        <w:gridCol w:w="944"/>
        <w:gridCol w:w="4820"/>
        <w:gridCol w:w="2066"/>
      </w:tblGrid>
      <w:tr w:rsidR="00F41FE2" w:rsidRPr="00711715" w:rsidTr="00E71EFB">
        <w:tc>
          <w:tcPr>
            <w:tcW w:w="113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 xml:space="preserve">RCT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n</w:t>
            </w: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o.</w:t>
            </w: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Arm (vs. placebo)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Favors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ROR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v</w:t>
            </w: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alue</w:t>
            </w:r>
          </w:p>
        </w:tc>
        <w:tc>
          <w:tcPr>
            <w:tcW w:w="4820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Analysis</w:t>
            </w:r>
          </w:p>
        </w:tc>
        <w:tc>
          <w:tcPr>
            <w:tcW w:w="2066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 xml:space="preserve">Discrepancy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t</w:t>
            </w: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ype</w:t>
            </w:r>
          </w:p>
        </w:tc>
      </w:tr>
      <w:tr w:rsidR="00F41FE2" w:rsidRPr="00711715" w:rsidTr="00E71EFB">
        <w:tc>
          <w:tcPr>
            <w:tcW w:w="113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IM101100</w:t>
            </w: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Abatacept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mg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FDA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1.04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0.003</w:t>
            </w:r>
          </w:p>
        </w:tc>
        <w:tc>
          <w:tcPr>
            <w:tcW w:w="4820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60% responders in publication vs. 61% in FDA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report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.</w:t>
            </w:r>
          </w:p>
        </w:tc>
        <w:tc>
          <w:tcPr>
            <w:tcW w:w="2066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Rounding effect</w:t>
            </w:r>
          </w:p>
        </w:tc>
      </w:tr>
      <w:tr w:rsidR="00F41FE2" w:rsidRPr="00711715" w:rsidTr="00E71EFB">
        <w:tc>
          <w:tcPr>
            <w:tcW w:w="113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DE031</w:t>
            </w: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Adalimumab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mg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FDA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1.01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0.36</w:t>
            </w:r>
          </w:p>
        </w:tc>
        <w:tc>
          <w:tcPr>
            <w:tcW w:w="4820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One investigator at site #7 was in the process of being disbarred, and all subjects (6) enrolled at the site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excluded from the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FDA analysis.</w:t>
            </w:r>
          </w:p>
        </w:tc>
        <w:tc>
          <w:tcPr>
            <w:tcW w:w="2066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Patient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i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nclusion</w:t>
            </w:r>
          </w:p>
        </w:tc>
      </w:tr>
      <w:tr w:rsidR="00F41FE2" w:rsidRPr="00711715" w:rsidTr="00E71EFB">
        <w:tc>
          <w:tcPr>
            <w:tcW w:w="1134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DE09</w:t>
            </w: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Adalimumab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mg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FDA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1.10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&lt;0.001</w:t>
            </w:r>
          </w:p>
        </w:tc>
        <w:tc>
          <w:tcPr>
            <w:tcW w:w="4820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One investigator at site #7 was in the process of being disbarred, and all subjects (11) enrolled at the site were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ex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cluded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from the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FDA analysis.</w:t>
            </w:r>
          </w:p>
        </w:tc>
        <w:tc>
          <w:tcPr>
            <w:tcW w:w="2066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Patient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i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nclusion</w:t>
            </w:r>
          </w:p>
        </w:tc>
      </w:tr>
      <w:tr w:rsidR="00F41FE2" w:rsidRPr="00711715" w:rsidTr="00E71EFB">
        <w:tc>
          <w:tcPr>
            <w:tcW w:w="1134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Adalimumab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mg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FDA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1.01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0.837</w:t>
            </w:r>
          </w:p>
        </w:tc>
        <w:tc>
          <w:tcPr>
            <w:tcW w:w="4820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066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</w:tr>
      <w:tr w:rsidR="00F41FE2" w:rsidRPr="00711715" w:rsidTr="00E71EFB">
        <w:tc>
          <w:tcPr>
            <w:tcW w:w="1134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Adalimumab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mg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FDA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1.10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&lt;0.001</w:t>
            </w:r>
          </w:p>
        </w:tc>
        <w:tc>
          <w:tcPr>
            <w:tcW w:w="4820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066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</w:tr>
      <w:tr w:rsidR="00F41FE2" w:rsidRPr="00711715" w:rsidTr="00E71EFB">
        <w:tc>
          <w:tcPr>
            <w:tcW w:w="1134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560</w:t>
            </w: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Anakinra 30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FDA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1.02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0.072</w:t>
            </w:r>
          </w:p>
        </w:tc>
        <w:tc>
          <w:tcPr>
            <w:tcW w:w="4820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Analyzed population was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smaller in the publication because the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FDA analysis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was bas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ed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on the in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tention to treat (ITT)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population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.</w:t>
            </w:r>
          </w:p>
        </w:tc>
        <w:tc>
          <w:tcPr>
            <w:tcW w:w="2066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Analytic approach</w:t>
            </w:r>
          </w:p>
        </w:tc>
      </w:tr>
      <w:tr w:rsidR="00F41FE2" w:rsidRPr="00711715" w:rsidTr="00E71EFB">
        <w:tc>
          <w:tcPr>
            <w:tcW w:w="1134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Anakinra 75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FDA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1.01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0.455</w:t>
            </w:r>
          </w:p>
        </w:tc>
        <w:tc>
          <w:tcPr>
            <w:tcW w:w="4820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066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</w:tr>
      <w:tr w:rsidR="00F41FE2" w:rsidRPr="00711715" w:rsidTr="00E71EFB">
        <w:tc>
          <w:tcPr>
            <w:tcW w:w="1134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Anakinra 150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FDA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1.01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0.544</w:t>
            </w:r>
          </w:p>
        </w:tc>
        <w:tc>
          <w:tcPr>
            <w:tcW w:w="4820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066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</w:tr>
      <w:tr w:rsidR="00F41FE2" w:rsidRPr="00711715" w:rsidTr="00E71EFB">
        <w:tc>
          <w:tcPr>
            <w:tcW w:w="113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990145</w:t>
            </w: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Anakinra 100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Journal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0.98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0.061</w:t>
            </w:r>
          </w:p>
        </w:tc>
        <w:tc>
          <w:tcPr>
            <w:tcW w:w="4820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Response rate in publication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wa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s 38% of 250. Exact number of responders is not mentioned but can be calculated (95). FDA mention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s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94/250 responders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,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which is 37.6%. Differences may be due to rounding 37.6% to 38%.</w:t>
            </w:r>
          </w:p>
        </w:tc>
        <w:tc>
          <w:tcPr>
            <w:tcW w:w="2066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Rounding effect</w:t>
            </w:r>
          </w:p>
        </w:tc>
      </w:tr>
      <w:tr w:rsidR="00F41FE2" w:rsidRPr="00711715" w:rsidTr="00E71EFB">
        <w:tc>
          <w:tcPr>
            <w:tcW w:w="113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11</w:t>
            </w: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Certolizumab 400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Journal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0.96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0.036</w:t>
            </w:r>
          </w:p>
        </w:tc>
        <w:tc>
          <w:tcPr>
            <w:tcW w:w="4820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In publication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,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ACR20 was presented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only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as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a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rounded percentage (45.5%). In the FDA report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,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both rounded percentage (45%) and number of responders were reported. </w:t>
            </w:r>
          </w:p>
        </w:tc>
        <w:tc>
          <w:tcPr>
            <w:tcW w:w="2066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Rounding effect</w:t>
            </w:r>
          </w:p>
        </w:tc>
      </w:tr>
      <w:tr w:rsidR="00F41FE2" w:rsidRPr="00711715" w:rsidTr="00E71EFB">
        <w:tc>
          <w:tcPr>
            <w:tcW w:w="113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14</w:t>
            </w: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Certolizumab 400</w:t>
            </w:r>
          </w:p>
        </w:tc>
        <w:tc>
          <w:tcPr>
            <w:tcW w:w="905" w:type="dxa"/>
            <w:vAlign w:val="center"/>
          </w:tcPr>
          <w:p w:rsidR="00F41FE2" w:rsidRPr="00711715" w:rsidDel="00CD7132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Journal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0.97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0.011</w:t>
            </w:r>
          </w:p>
        </w:tc>
        <w:tc>
          <w:tcPr>
            <w:tcW w:w="4820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In the FDA report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,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56/124 (45%) achieved ACR20 at week 24 vs. 45.9% (calculated as 57/124) reported in publication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.</w:t>
            </w:r>
          </w:p>
        </w:tc>
        <w:tc>
          <w:tcPr>
            <w:tcW w:w="2066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Counting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d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iscrepancy</w:t>
            </w:r>
          </w:p>
        </w:tc>
      </w:tr>
      <w:tr w:rsidR="00F41FE2" w:rsidRPr="00711715" w:rsidTr="00E71EFB">
        <w:trPr>
          <w:trHeight w:val="952"/>
        </w:trPr>
        <w:tc>
          <w:tcPr>
            <w:tcW w:w="1134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27</w:t>
            </w: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Certolizumab 200</w:t>
            </w:r>
          </w:p>
        </w:tc>
        <w:tc>
          <w:tcPr>
            <w:tcW w:w="905" w:type="dxa"/>
            <w:vAlign w:val="center"/>
          </w:tcPr>
          <w:p w:rsidR="00F41FE2" w:rsidRPr="00711715" w:rsidDel="00CD7132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Journal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0.99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0.536</w:t>
            </w:r>
          </w:p>
        </w:tc>
        <w:tc>
          <w:tcPr>
            <w:tcW w:w="4820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The FDA report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did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not include 5 patients from the CER200 arm, 2 patients from the CER400 arm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,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and 1 patient from the placebo arm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because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"the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biologic license a</w:t>
            </w:r>
            <w:r w:rsidRPr="00804556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pplication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(BLA)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did not include subjects who were missing all ACR assessments". However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,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the FDA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calculate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d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the results with </w:t>
            </w:r>
            <w:r w:rsidRPr="00842CD1">
              <w:rPr>
                <w:rFonts w:ascii="Times New Roman" w:hAnsi="Times New Roman" w:cs="Times New Roman"/>
                <w:sz w:val="20"/>
                <w:szCs w:val="20"/>
                <w:u w:val="single"/>
                <w:lang w:eastAsia="da-DK" w:bidi="ar-SA"/>
              </w:rPr>
              <w:t>all missing set to non-responder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(not shown in the report)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,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and the results were consistent.</w:t>
            </w:r>
          </w:p>
        </w:tc>
        <w:tc>
          <w:tcPr>
            <w:tcW w:w="2066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Counting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d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iscrepancy</w:t>
            </w:r>
          </w:p>
        </w:tc>
      </w:tr>
      <w:tr w:rsidR="00F41FE2" w:rsidRPr="00711715" w:rsidTr="00E71EFB">
        <w:tc>
          <w:tcPr>
            <w:tcW w:w="1134" w:type="dxa"/>
            <w:vMerge/>
            <w:vAlign w:val="center"/>
          </w:tcPr>
          <w:p w:rsidR="00F41FE2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Certolizumab 400</w:t>
            </w:r>
          </w:p>
        </w:tc>
        <w:tc>
          <w:tcPr>
            <w:tcW w:w="905" w:type="dxa"/>
            <w:vAlign w:val="center"/>
          </w:tcPr>
          <w:p w:rsidR="00F41FE2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Journal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1.0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0.739</w:t>
            </w:r>
          </w:p>
        </w:tc>
        <w:tc>
          <w:tcPr>
            <w:tcW w:w="4820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066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</w:tr>
      <w:tr w:rsidR="00F41FE2" w:rsidRPr="00711715" w:rsidTr="00E71EFB">
        <w:tc>
          <w:tcPr>
            <w:tcW w:w="113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lastRenderedPageBreak/>
              <w:t xml:space="preserve">RCT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n</w:t>
            </w: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o.</w:t>
            </w: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Arm (vs. placebo)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Favors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ROR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v</w:t>
            </w: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alue</w:t>
            </w:r>
          </w:p>
        </w:tc>
        <w:tc>
          <w:tcPr>
            <w:tcW w:w="4820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Analysis</w:t>
            </w:r>
          </w:p>
        </w:tc>
        <w:tc>
          <w:tcPr>
            <w:tcW w:w="2066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 xml:space="preserve">Discrepancy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t</w:t>
            </w:r>
            <w:r w:rsidRPr="007117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a-DK" w:bidi="ar-SA"/>
              </w:rPr>
              <w:t>ype</w:t>
            </w:r>
          </w:p>
        </w:tc>
      </w:tr>
      <w:tr w:rsidR="00F41FE2" w:rsidRPr="00711715" w:rsidTr="00E71EFB">
        <w:tc>
          <w:tcPr>
            <w:tcW w:w="113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50</w:t>
            </w: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Certolizumab 400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Journal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0.99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0.647</w:t>
            </w:r>
          </w:p>
        </w:tc>
        <w:tc>
          <w:tcPr>
            <w:tcW w:w="4820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T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he FDA report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notes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that: "For the ACR response variables, the sponsor did not include one subject in the </w:t>
            </w:r>
            <w:proofErr w:type="spellStart"/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Cimizia</w:t>
            </w:r>
            <w:proofErr w:type="spellEnd"/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400mg group due to all ACR measures being missing." In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the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publication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,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there are 142/246 responders in the </w:t>
            </w:r>
            <w:proofErr w:type="spellStart"/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Cimzia</w:t>
            </w:r>
            <w:proofErr w:type="spellEnd"/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400 arm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and in the FDA report,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141/245.</w:t>
            </w:r>
          </w:p>
        </w:tc>
        <w:tc>
          <w:tcPr>
            <w:tcW w:w="2066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Counting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d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iscrepancy</w:t>
            </w:r>
          </w:p>
        </w:tc>
      </w:tr>
      <w:tr w:rsidR="00F41FE2" w:rsidRPr="00711715" w:rsidTr="00E71EFB">
        <w:tc>
          <w:tcPr>
            <w:tcW w:w="1134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C0524T05</w:t>
            </w: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Golimumab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mg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FDA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1.05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&lt;0.001</w:t>
            </w:r>
          </w:p>
        </w:tc>
        <w:tc>
          <w:tcPr>
            <w:tcW w:w="4820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In the FDA report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,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ACR20 was presented as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a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rounded percentage. In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the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publication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,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both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the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exact percentage and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the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number of responders were reported. </w:t>
            </w:r>
          </w:p>
        </w:tc>
        <w:tc>
          <w:tcPr>
            <w:tcW w:w="2066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Rounding effect</w:t>
            </w:r>
          </w:p>
        </w:tc>
      </w:tr>
      <w:tr w:rsidR="00F41FE2" w:rsidRPr="00711715" w:rsidTr="00E71EFB">
        <w:tc>
          <w:tcPr>
            <w:tcW w:w="1134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Golimumab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proofErr w:type="spellStart"/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mg+MTX</w:t>
            </w:r>
            <w:proofErr w:type="spellEnd"/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FDA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1.05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&lt;0.001</w:t>
            </w:r>
          </w:p>
        </w:tc>
        <w:tc>
          <w:tcPr>
            <w:tcW w:w="4820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066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</w:tr>
      <w:tr w:rsidR="00F41FE2" w:rsidRPr="00711715" w:rsidTr="00E71EFB">
        <w:tc>
          <w:tcPr>
            <w:tcW w:w="1134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Golimumab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proofErr w:type="spellStart"/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mg+MTX</w:t>
            </w:r>
            <w:proofErr w:type="spellEnd"/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FDA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1.05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&lt;0.001</w:t>
            </w:r>
          </w:p>
        </w:tc>
        <w:tc>
          <w:tcPr>
            <w:tcW w:w="4820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066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</w:tr>
      <w:tr w:rsidR="00F41FE2" w:rsidRPr="00711715" w:rsidTr="00E71EFB">
        <w:trPr>
          <w:trHeight w:val="435"/>
        </w:trPr>
        <w:tc>
          <w:tcPr>
            <w:tcW w:w="1134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C0168T22</w:t>
            </w: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Infliximab 3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mg at week 4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Journal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0.88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&lt;0.001</w:t>
            </w:r>
          </w:p>
        </w:tc>
        <w:tc>
          <w:tcPr>
            <w:tcW w:w="4820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Three different populations were used for the different analyses in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the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publication. Demographics were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determined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using the randomized populations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;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efficacy at week 30 was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determined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using only subjects evaluated at week 30, and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the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safety analysis account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ed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for deviations in the protocol. In the FDA report, analyses were based on the ITT population.</w:t>
            </w:r>
          </w:p>
        </w:tc>
        <w:tc>
          <w:tcPr>
            <w:tcW w:w="2066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Analytic approach</w:t>
            </w:r>
          </w:p>
        </w:tc>
      </w:tr>
      <w:tr w:rsidR="00F41FE2" w:rsidRPr="00711715" w:rsidTr="00E71EFB">
        <w:trPr>
          <w:trHeight w:val="271"/>
        </w:trPr>
        <w:tc>
          <w:tcPr>
            <w:tcW w:w="1134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Infliximab 3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mg at week 8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Journal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0.96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0.033</w:t>
            </w:r>
          </w:p>
        </w:tc>
        <w:tc>
          <w:tcPr>
            <w:tcW w:w="4820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066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</w:tr>
      <w:tr w:rsidR="00F41FE2" w:rsidRPr="00711715" w:rsidTr="00E71EFB">
        <w:trPr>
          <w:trHeight w:val="417"/>
        </w:trPr>
        <w:tc>
          <w:tcPr>
            <w:tcW w:w="1134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Infliximab 10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mg at week 4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FDA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1.01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0.633</w:t>
            </w:r>
          </w:p>
        </w:tc>
        <w:tc>
          <w:tcPr>
            <w:tcW w:w="4820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066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</w:tr>
      <w:tr w:rsidR="00F41FE2" w:rsidRPr="00711715" w:rsidTr="00E71EFB">
        <w:tc>
          <w:tcPr>
            <w:tcW w:w="1134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Infliximab 10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mg at week 8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Journal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0.99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0.383</w:t>
            </w:r>
          </w:p>
        </w:tc>
        <w:tc>
          <w:tcPr>
            <w:tcW w:w="4820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066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</w:tr>
      <w:tr w:rsidR="00F41FE2" w:rsidRPr="00711715" w:rsidTr="00E71EFB">
        <w:tc>
          <w:tcPr>
            <w:tcW w:w="1134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WA17823</w:t>
            </w: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Tocilizumab 4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mg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FDA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1.02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0.001</w:t>
            </w:r>
          </w:p>
        </w:tc>
        <w:tc>
          <w:tcPr>
            <w:tcW w:w="4820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FDA report use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d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randomized populations whereas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the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publication use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d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the ITT population.</w:t>
            </w:r>
          </w:p>
        </w:tc>
        <w:tc>
          <w:tcPr>
            <w:tcW w:w="2066" w:type="dxa"/>
            <w:vMerge w:val="restart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Analytic approach</w:t>
            </w:r>
          </w:p>
        </w:tc>
      </w:tr>
      <w:tr w:rsidR="00F41FE2" w:rsidRPr="00711715" w:rsidTr="00E71EFB">
        <w:tc>
          <w:tcPr>
            <w:tcW w:w="1134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Tocilizumab 8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mg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FDA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1.01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0.364</w:t>
            </w:r>
          </w:p>
        </w:tc>
        <w:tc>
          <w:tcPr>
            <w:tcW w:w="4820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  <w:tc>
          <w:tcPr>
            <w:tcW w:w="2066" w:type="dxa"/>
            <w:vMerge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</w:p>
        </w:tc>
      </w:tr>
      <w:tr w:rsidR="00F41FE2" w:rsidRPr="00711715" w:rsidTr="00E71EFB">
        <w:tc>
          <w:tcPr>
            <w:tcW w:w="113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WA18063</w:t>
            </w:r>
          </w:p>
        </w:tc>
        <w:tc>
          <w:tcPr>
            <w:tcW w:w="2552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Tocilizumab 8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mg</w:t>
            </w:r>
          </w:p>
        </w:tc>
        <w:tc>
          <w:tcPr>
            <w:tcW w:w="905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FDA</w:t>
            </w:r>
          </w:p>
        </w:tc>
        <w:tc>
          <w:tcPr>
            <w:tcW w:w="761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1.00</w:t>
            </w:r>
          </w:p>
        </w:tc>
        <w:tc>
          <w:tcPr>
            <w:tcW w:w="944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0.599</w:t>
            </w:r>
          </w:p>
        </w:tc>
        <w:tc>
          <w:tcPr>
            <w:tcW w:w="4820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The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publication stated that "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O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 the 805 patients randomized to receive tocilizumab and the 415 patients randomized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to the control group, 803 and 413, respectively, were included in the ITT population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.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A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lthough the FDA report states that it use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d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an ITT approach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,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in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fact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,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the total randomized population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was analyzed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. This d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id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not affect the response p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ercentages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(61% for tocilizumab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vs.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 25% for placebo).</w:t>
            </w:r>
          </w:p>
        </w:tc>
        <w:tc>
          <w:tcPr>
            <w:tcW w:w="2066" w:type="dxa"/>
            <w:vAlign w:val="center"/>
          </w:tcPr>
          <w:p w:rsidR="00F41FE2" w:rsidRPr="00711715" w:rsidRDefault="00F41FE2" w:rsidP="00E71EFB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</w:pP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 xml:space="preserve">Counting </w:t>
            </w:r>
            <w:r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d</w:t>
            </w:r>
            <w:r w:rsidRPr="00711715">
              <w:rPr>
                <w:rFonts w:ascii="Times New Roman" w:hAnsi="Times New Roman" w:cs="Times New Roman"/>
                <w:sz w:val="20"/>
                <w:szCs w:val="20"/>
                <w:lang w:eastAsia="da-DK" w:bidi="ar-SA"/>
              </w:rPr>
              <w:t>iscrepancy</w:t>
            </w:r>
          </w:p>
        </w:tc>
      </w:tr>
    </w:tbl>
    <w:p w:rsidR="00F41FE2" w:rsidRDefault="00F41FE2" w:rsidP="00F41FE2">
      <w:pPr>
        <w:bidi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da-DK"/>
        </w:rPr>
      </w:pPr>
      <w:r w:rsidRPr="008E3B41">
        <w:t>RCT-randomized controlled trial, No.-number of patients, ACR20-Ameri</w:t>
      </w:r>
      <w:r>
        <w:t>can College of Rheumatology 20</w:t>
      </w:r>
      <w:r w:rsidRPr="008E3B41">
        <w:t>, FDA - Food and Drug Administration</w:t>
      </w:r>
    </w:p>
    <w:p w:rsidR="00F41FE2" w:rsidRDefault="00F41FE2" w:rsidP="00F41FE2">
      <w:pPr>
        <w:bidi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da-DK"/>
        </w:rPr>
      </w:pPr>
    </w:p>
    <w:p w:rsidR="002A5724" w:rsidRPr="00F41FE2" w:rsidRDefault="002A5724"/>
    <w:sectPr w:rsidR="002A5724" w:rsidRPr="00F41FE2" w:rsidSect="00F41FE2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E2" w:rsidRDefault="00F41FE2" w:rsidP="00F41FE2">
      <w:pPr>
        <w:spacing w:after="0" w:line="240" w:lineRule="auto"/>
      </w:pPr>
      <w:r>
        <w:separator/>
      </w:r>
    </w:p>
  </w:endnote>
  <w:endnote w:type="continuationSeparator" w:id="0">
    <w:p w:rsidR="00F41FE2" w:rsidRDefault="00F41FE2" w:rsidP="00F4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E2" w:rsidRDefault="00F41FE2" w:rsidP="00F41FE2">
      <w:pPr>
        <w:spacing w:after="0" w:line="240" w:lineRule="auto"/>
      </w:pPr>
      <w:r>
        <w:separator/>
      </w:r>
    </w:p>
  </w:footnote>
  <w:footnote w:type="continuationSeparator" w:id="0">
    <w:p w:rsidR="00F41FE2" w:rsidRDefault="00F41FE2" w:rsidP="00F4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E2" w:rsidRPr="00F41FE2" w:rsidRDefault="00F41FE2" w:rsidP="00F41FE2">
    <w:pPr>
      <w:pStyle w:val="Sidehoved"/>
      <w:jc w:val="right"/>
    </w:pPr>
    <w:r w:rsidRPr="00111B7A">
      <w:rPr>
        <w:rtl/>
      </w:rPr>
      <w:ptab w:relativeTo="margin" w:alignment="center" w:leader="none"/>
    </w:r>
    <w:r w:rsidRPr="00111B7A">
      <w:t>Agreements and Discrepancies between FDA Reports and Journal Papers on Biologic Agents Approved for Rheumatoid Arthrit</w:t>
    </w:r>
    <w:r>
      <w:t>is</w:t>
    </w:r>
    <w:r w:rsidR="002350C8">
      <w:t>:</w:t>
    </w:r>
    <w:r w:rsidR="002350C8" w:rsidRPr="002350C8">
      <w:t xml:space="preserve"> </w:t>
    </w:r>
    <w:r w:rsidR="002350C8">
      <w:t>A meta-</w:t>
    </w:r>
    <w:r w:rsidR="002350C8" w:rsidRPr="006B6D49">
      <w:t>research project</w:t>
    </w:r>
    <w:r>
      <w:t xml:space="preserve">. G. </w:t>
    </w:r>
    <w:proofErr w:type="spellStart"/>
    <w:r>
      <w:t>Amarilyo</w:t>
    </w:r>
    <w:proofErr w:type="spellEnd"/>
    <w:r>
      <w:t xml:space="preserve"> </w:t>
    </w:r>
    <w:r w:rsidRPr="00111B7A">
      <w:rPr>
        <w:i/>
      </w:rPr>
      <w:t>et al.</w:t>
    </w:r>
  </w:p>
  <w:p w:rsidR="00F41FE2" w:rsidRDefault="00F41FE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2"/>
    <w:rsid w:val="002350C8"/>
    <w:rsid w:val="002A5724"/>
    <w:rsid w:val="00F4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E2"/>
    <w:pPr>
      <w:bidi/>
    </w:pPr>
    <w:rPr>
      <w:rFonts w:ascii="Calibri" w:eastAsia="Calibri" w:hAnsi="Calibri" w:cs="Arial"/>
      <w:lang w:val="en-US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41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1FE2"/>
    <w:rPr>
      <w:rFonts w:ascii="Calibri" w:eastAsia="Calibri" w:hAnsi="Calibri" w:cs="Arial"/>
      <w:lang w:val="en-US" w:bidi="he-IL"/>
    </w:rPr>
  </w:style>
  <w:style w:type="paragraph" w:styleId="Sidefod">
    <w:name w:val="footer"/>
    <w:basedOn w:val="Normal"/>
    <w:link w:val="SidefodTegn"/>
    <w:uiPriority w:val="99"/>
    <w:unhideWhenUsed/>
    <w:rsid w:val="00F41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1FE2"/>
    <w:rPr>
      <w:rFonts w:ascii="Calibri" w:eastAsia="Calibri" w:hAnsi="Calibri" w:cs="Arial"/>
      <w:lang w:val="en-US" w:bidi="he-I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1FE2"/>
    <w:rPr>
      <w:rFonts w:ascii="Tahoma" w:eastAsia="Calibri" w:hAnsi="Tahoma" w:cs="Tahoma"/>
      <w:sz w:val="16"/>
      <w:szCs w:val="16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E2"/>
    <w:pPr>
      <w:bidi/>
    </w:pPr>
    <w:rPr>
      <w:rFonts w:ascii="Calibri" w:eastAsia="Calibri" w:hAnsi="Calibri" w:cs="Arial"/>
      <w:lang w:val="en-US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41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1FE2"/>
    <w:rPr>
      <w:rFonts w:ascii="Calibri" w:eastAsia="Calibri" w:hAnsi="Calibri" w:cs="Arial"/>
      <w:lang w:val="en-US" w:bidi="he-IL"/>
    </w:rPr>
  </w:style>
  <w:style w:type="paragraph" w:styleId="Sidefod">
    <w:name w:val="footer"/>
    <w:basedOn w:val="Normal"/>
    <w:link w:val="SidefodTegn"/>
    <w:uiPriority w:val="99"/>
    <w:unhideWhenUsed/>
    <w:rsid w:val="00F41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1FE2"/>
    <w:rPr>
      <w:rFonts w:ascii="Calibri" w:eastAsia="Calibri" w:hAnsi="Calibri" w:cs="Arial"/>
      <w:lang w:val="en-US" w:bidi="he-I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1FE2"/>
    <w:rPr>
      <w:rFonts w:ascii="Tahoma" w:eastAsia="Calibri" w:hAnsi="Tahoma" w:cs="Tahoma"/>
      <w:sz w:val="16"/>
      <w:szCs w:val="16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3659</Characters>
  <Application>Microsoft Office Word</Application>
  <DocSecurity>0</DocSecurity>
  <Lines>30</Lines>
  <Paragraphs>8</Paragraphs>
  <ScaleCrop>false</ScaleCrop>
  <Company>Region Hovedstaden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Tarp</dc:creator>
  <cp:lastModifiedBy>Simon Tarp</cp:lastModifiedBy>
  <cp:revision>2</cp:revision>
  <dcterms:created xsi:type="dcterms:W3CDTF">2015-12-19T21:01:00Z</dcterms:created>
  <dcterms:modified xsi:type="dcterms:W3CDTF">2015-12-28T14:38:00Z</dcterms:modified>
</cp:coreProperties>
</file>