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FBE" w:rsidRDefault="00214BFE" w:rsidP="003C3DEE">
      <w:pPr>
        <w:spacing w:after="0" w:line="240" w:lineRule="auto"/>
        <w:rPr>
          <w:b/>
          <w:sz w:val="36"/>
          <w:szCs w:val="36"/>
        </w:rPr>
      </w:pPr>
      <w:r w:rsidRPr="003C3DEE">
        <w:rPr>
          <w:b/>
          <w:sz w:val="36"/>
          <w:szCs w:val="36"/>
        </w:rPr>
        <w:t>S3 Appendix</w:t>
      </w:r>
      <w:r w:rsidR="004511BB" w:rsidRPr="003C3DEE">
        <w:rPr>
          <w:b/>
          <w:sz w:val="36"/>
          <w:szCs w:val="36"/>
        </w:rPr>
        <w:t xml:space="preserve">. </w:t>
      </w:r>
      <w:r w:rsidR="007027B9" w:rsidRPr="003C3DEE">
        <w:rPr>
          <w:b/>
          <w:sz w:val="36"/>
          <w:szCs w:val="36"/>
        </w:rPr>
        <w:t>Results for the si</w:t>
      </w:r>
      <w:r w:rsidR="004511BB" w:rsidRPr="003C3DEE">
        <w:rPr>
          <w:b/>
          <w:sz w:val="36"/>
          <w:szCs w:val="36"/>
        </w:rPr>
        <w:t>ngle-output production function</w:t>
      </w:r>
    </w:p>
    <w:p w:rsidR="003C3DEE" w:rsidRPr="003C3DEE" w:rsidRDefault="003C3DEE" w:rsidP="003C3DEE">
      <w:pPr>
        <w:spacing w:after="0" w:line="240" w:lineRule="auto"/>
        <w:rPr>
          <w:b/>
          <w:sz w:val="36"/>
          <w:szCs w:val="36"/>
        </w:rPr>
      </w:pPr>
    </w:p>
    <w:p w:rsidR="003C3DEE" w:rsidRPr="003C3DEE" w:rsidRDefault="007027B9" w:rsidP="003C3DEE">
      <w:pPr>
        <w:spacing w:after="0" w:line="480" w:lineRule="auto"/>
        <w:rPr>
          <w:b/>
          <w:sz w:val="22"/>
          <w:szCs w:val="22"/>
        </w:rPr>
      </w:pPr>
      <w:r w:rsidRPr="00CF6C81">
        <w:rPr>
          <w:b/>
          <w:sz w:val="22"/>
          <w:szCs w:val="22"/>
        </w:rPr>
        <w:t>Table</w:t>
      </w:r>
      <w:r w:rsidR="003C3DEE">
        <w:rPr>
          <w:b/>
          <w:sz w:val="22"/>
          <w:szCs w:val="22"/>
        </w:rPr>
        <w:t xml:space="preserve"> H. </w:t>
      </w:r>
      <w:r w:rsidRPr="00CF6C81">
        <w:rPr>
          <w:b/>
          <w:sz w:val="22"/>
          <w:szCs w:val="22"/>
        </w:rPr>
        <w:t>Variations in the functional form for the single</w:t>
      </w:r>
      <w:r w:rsidRPr="00CF6C81">
        <w:rPr>
          <w:rStyle w:val="Heading3Char"/>
          <w:sz w:val="22"/>
          <w:szCs w:val="22"/>
        </w:rPr>
        <w:t xml:space="preserve"> </w:t>
      </w:r>
      <w:r w:rsidRPr="00CF6C81">
        <w:rPr>
          <w:b/>
          <w:sz w:val="22"/>
          <w:szCs w:val="22"/>
        </w:rPr>
        <w:t>output case</w:t>
      </w:r>
      <w:r w:rsidR="0007156A">
        <w:rPr>
          <w:b/>
          <w:sz w:val="22"/>
          <w:szCs w:val="22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1710"/>
        <w:gridCol w:w="1170"/>
        <w:gridCol w:w="900"/>
        <w:gridCol w:w="1260"/>
        <w:gridCol w:w="990"/>
        <w:gridCol w:w="906"/>
        <w:gridCol w:w="799"/>
      </w:tblGrid>
      <w:tr w:rsidR="003C3DEE" w:rsidRPr="00A96506" w:rsidTr="00E46827">
        <w:tc>
          <w:tcPr>
            <w:tcW w:w="1615" w:type="dxa"/>
          </w:tcPr>
          <w:p w:rsidR="003C3DEE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Functional form</w:t>
            </w:r>
          </w:p>
        </w:tc>
        <w:tc>
          <w:tcPr>
            <w:tcW w:w="1710" w:type="dxa"/>
          </w:tcPr>
          <w:p w:rsidR="003C3DEE" w:rsidRPr="00E46827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Model specification </w:t>
            </w:r>
          </w:p>
        </w:tc>
        <w:tc>
          <w:tcPr>
            <w:tcW w:w="1170" w:type="dxa"/>
            <w:vAlign w:val="center"/>
          </w:tcPr>
          <w:p w:rsidR="003C3DEE" w:rsidRPr="00E46827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r w:rsidRPr="00E46827">
              <w:rPr>
                <w:b/>
                <w:sz w:val="22"/>
                <w:szCs w:val="22"/>
              </w:rPr>
              <w:t>Method</w:t>
            </w:r>
          </w:p>
        </w:tc>
        <w:tc>
          <w:tcPr>
            <w:tcW w:w="900" w:type="dxa"/>
            <w:vAlign w:val="center"/>
          </w:tcPr>
          <w:p w:rsidR="003C3DEE" w:rsidRPr="00E46827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r w:rsidRPr="00E46827">
              <w:rPr>
                <w:b/>
                <w:sz w:val="22"/>
                <w:szCs w:val="22"/>
              </w:rPr>
              <w:t>MAD</w:t>
            </w:r>
          </w:p>
        </w:tc>
        <w:tc>
          <w:tcPr>
            <w:tcW w:w="1260" w:type="dxa"/>
            <w:vAlign w:val="center"/>
          </w:tcPr>
          <w:p w:rsidR="003C3DEE" w:rsidRPr="00E46827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E46827">
              <w:rPr>
                <w:b/>
                <w:sz w:val="22"/>
                <w:szCs w:val="22"/>
              </w:rPr>
              <w:t>NOTFront</w:t>
            </w:r>
            <w:proofErr w:type="spellEnd"/>
          </w:p>
        </w:tc>
        <w:tc>
          <w:tcPr>
            <w:tcW w:w="990" w:type="dxa"/>
            <w:vAlign w:val="center"/>
          </w:tcPr>
          <w:p w:rsidR="003C3DEE" w:rsidRPr="00A96506" w:rsidRDefault="00632134" w:rsidP="00E46827">
            <w:pPr>
              <w:spacing w:before="40" w:after="40" w:line="240" w:lineRule="auto"/>
              <w:jc w:val="center"/>
              <w:rPr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PU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20%</m:t>
                    </m:r>
                  </m:sub>
                </m:sSub>
              </m:oMath>
            </m:oMathPara>
          </w:p>
        </w:tc>
        <w:tc>
          <w:tcPr>
            <w:tcW w:w="906" w:type="dxa"/>
            <w:vAlign w:val="center"/>
          </w:tcPr>
          <w:p w:rsidR="003C3DEE" w:rsidRPr="00A96506" w:rsidRDefault="00632134" w:rsidP="00E46827">
            <w:pPr>
              <w:spacing w:before="40" w:after="40" w:line="240" w:lineRule="auto"/>
              <w:jc w:val="center"/>
              <w:rPr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PO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20%</m:t>
                    </m:r>
                  </m:sub>
                </m:sSub>
              </m:oMath>
            </m:oMathPara>
          </w:p>
        </w:tc>
        <w:tc>
          <w:tcPr>
            <w:tcW w:w="799" w:type="dxa"/>
            <w:vAlign w:val="center"/>
          </w:tcPr>
          <w:p w:rsidR="003C3DEE" w:rsidRPr="00A96506" w:rsidRDefault="00632134" w:rsidP="00E46827">
            <w:pPr>
              <w:spacing w:before="40" w:after="40" w:line="240" w:lineRule="auto"/>
              <w:jc w:val="center"/>
              <w:rPr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</m:sub>
                </m:sSub>
              </m:oMath>
            </m:oMathPara>
          </w:p>
        </w:tc>
      </w:tr>
      <w:tr w:rsidR="003C3DEE" w:rsidRPr="00A96506" w:rsidTr="00B4535C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Cobb-Douglas</w:t>
            </w:r>
          </w:p>
        </w:tc>
        <w:tc>
          <w:tcPr>
            <w:tcW w:w="1710" w:type="dxa"/>
            <w:vAlign w:val="center"/>
          </w:tcPr>
          <w:p w:rsidR="003C3DEE" w:rsidRPr="003C3DEE" w:rsidRDefault="00632134" w:rsidP="003C3DEE">
            <w:pPr>
              <w:spacing w:before="80" w:after="80" w:line="240" w:lineRule="auto"/>
              <w:textAlignment w:val="baseline"/>
              <w:rPr>
                <w:rFonts w:eastAsia="Times New Roman"/>
                <w:i/>
                <w:color w:val="000000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2"/>
                        <w:szCs w:val="22"/>
                      </w:rPr>
                      <m:t>θ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2"/>
                        <w:szCs w:val="22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22"/>
                    <w:szCs w:val="22"/>
                  </w:rPr>
                  <m:t>~unif</m:t>
                </m:r>
                <m:d>
                  <m:dPr>
                    <m:ctrlPr>
                      <w:rPr>
                        <w:rFonts w:ascii="Cambria Math" w:eastAsia="Times New Roman" w:hAnsi="Cambria Math"/>
                        <w:color w:val="000000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22"/>
                        <w:szCs w:val="22"/>
                      </w:rPr>
                      <m:t>0,1</m:t>
                    </m:r>
                  </m:e>
                </m:d>
              </m:oMath>
            </m:oMathPara>
          </w:p>
        </w:tc>
        <w:tc>
          <w:tcPr>
            <w:tcW w:w="117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DEA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90" w:type="dxa"/>
            <w:vAlign w:val="center"/>
          </w:tcPr>
          <w:p w:rsidR="003C3DEE" w:rsidRPr="0007156A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07156A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6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22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99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0.967</w:t>
            </w:r>
          </w:p>
        </w:tc>
      </w:tr>
      <w:tr w:rsidR="003C3DEE" w:rsidRPr="00A96506" w:rsidTr="00B4535C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rDEA</w:t>
            </w:r>
            <w:proofErr w:type="spellEnd"/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9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06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99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0.955</w:t>
            </w:r>
          </w:p>
        </w:tc>
      </w:tr>
      <w:tr w:rsidR="003C3DEE" w:rsidRPr="00A96506" w:rsidTr="00B4535C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rSDF</w:t>
            </w:r>
            <w:proofErr w:type="spellEnd"/>
            <w:r w:rsidRPr="00230B4A">
              <w:rPr>
                <w:rFonts w:eastAsia="Times New Roman"/>
                <w:color w:val="000000"/>
                <w:sz w:val="22"/>
                <w:szCs w:val="22"/>
              </w:rPr>
              <w:t>-CD</w:t>
            </w:r>
          </w:p>
        </w:tc>
        <w:tc>
          <w:tcPr>
            <w:tcW w:w="900" w:type="dxa"/>
            <w:vAlign w:val="center"/>
          </w:tcPr>
          <w:p w:rsidR="003C3DEE" w:rsidRPr="0007156A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07156A">
              <w:rPr>
                <w:b/>
                <w:color w:val="000000"/>
                <w:sz w:val="22"/>
                <w:szCs w:val="22"/>
              </w:rPr>
              <w:t>0.008</w:t>
            </w:r>
          </w:p>
        </w:tc>
        <w:tc>
          <w:tcPr>
            <w:tcW w:w="1260" w:type="dxa"/>
            <w:vAlign w:val="center"/>
          </w:tcPr>
          <w:p w:rsidR="003C3DEE" w:rsidRPr="0007156A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07156A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3C3DEE" w:rsidRPr="0007156A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07156A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6" w:type="dxa"/>
            <w:vAlign w:val="center"/>
          </w:tcPr>
          <w:p w:rsidR="003C3DEE" w:rsidRPr="0007156A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07156A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799" w:type="dxa"/>
            <w:vAlign w:val="center"/>
          </w:tcPr>
          <w:p w:rsidR="003C3DEE" w:rsidRPr="0007156A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07156A">
              <w:rPr>
                <w:b/>
                <w:color w:val="000000"/>
                <w:sz w:val="22"/>
                <w:szCs w:val="22"/>
              </w:rPr>
              <w:t>0.998</w:t>
            </w:r>
          </w:p>
        </w:tc>
      </w:tr>
      <w:tr w:rsidR="003C3DEE" w:rsidRPr="00A96506" w:rsidTr="00B4535C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ENS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0.017</w:t>
            </w:r>
          </w:p>
        </w:tc>
        <w:tc>
          <w:tcPr>
            <w:tcW w:w="1260" w:type="dxa"/>
            <w:vAlign w:val="center"/>
          </w:tcPr>
          <w:p w:rsidR="003C3DEE" w:rsidRPr="0007156A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07156A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9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06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99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0.987</w:t>
            </w:r>
          </w:p>
        </w:tc>
      </w:tr>
    </w:tbl>
    <w:p w:rsidR="003C3DEE" w:rsidRPr="005E0CB6" w:rsidRDefault="003C3DEE" w:rsidP="003C3DEE">
      <w:pPr>
        <w:rPr>
          <w:sz w:val="22"/>
        </w:rPr>
      </w:pPr>
    </w:p>
    <w:p w:rsidR="003C3DEE" w:rsidRDefault="003C3DEE" w:rsidP="003C3DEE">
      <w:pPr>
        <w:pStyle w:val="Caption"/>
        <w:keepNext/>
        <w:spacing w:after="0"/>
        <w:rPr>
          <w:rFonts w:eastAsiaTheme="minorEastAsia"/>
          <w:i w:val="0"/>
          <w:color w:val="auto"/>
          <w:sz w:val="16"/>
          <w:szCs w:val="16"/>
        </w:rPr>
      </w:pPr>
      <w:r>
        <w:rPr>
          <w:i w:val="0"/>
          <w:color w:val="auto"/>
          <w:sz w:val="16"/>
          <w:szCs w:val="16"/>
        </w:rPr>
        <w:t xml:space="preserve">Note: </w:t>
      </w:r>
      <w:r w:rsidRPr="005B00AD">
        <w:rPr>
          <w:i w:val="0"/>
          <w:color w:val="auto"/>
          <w:sz w:val="16"/>
          <w:szCs w:val="16"/>
        </w:rPr>
        <w:t xml:space="preserve">Numbers in </w:t>
      </w:r>
      <w:r w:rsidRPr="005B00AD">
        <w:rPr>
          <w:b/>
          <w:i w:val="0"/>
          <w:color w:val="auto"/>
          <w:sz w:val="16"/>
          <w:szCs w:val="16"/>
        </w:rPr>
        <w:t>bold</w:t>
      </w:r>
      <w:r w:rsidRPr="005B00AD">
        <w:rPr>
          <w:i w:val="0"/>
          <w:color w:val="auto"/>
          <w:sz w:val="16"/>
          <w:szCs w:val="16"/>
        </w:rPr>
        <w:t xml:space="preserve"> highlight the best outcome for each performance indicator across the alternative approaches. MAD: median absolute deviation, </w:t>
      </w:r>
      <w:proofErr w:type="spellStart"/>
      <w:r w:rsidRPr="005B00AD">
        <w:rPr>
          <w:i w:val="0"/>
          <w:color w:val="auto"/>
          <w:sz w:val="16"/>
          <w:szCs w:val="16"/>
        </w:rPr>
        <w:t>NOTFront</w:t>
      </w:r>
      <w:proofErr w:type="spellEnd"/>
      <w:r w:rsidRPr="005B00AD">
        <w:rPr>
          <w:i w:val="0"/>
          <w:color w:val="auto"/>
          <w:sz w:val="16"/>
          <w:szCs w:val="16"/>
        </w:rPr>
        <w:t>: percentage of misclassified DMUs</w:t>
      </w:r>
      <w:proofErr w:type="gramStart"/>
      <w:r w:rsidRPr="005B00AD">
        <w:rPr>
          <w:i w:val="0"/>
          <w:color w:val="auto"/>
          <w:sz w:val="16"/>
          <w:szCs w:val="16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 w:val="0"/>
                <w:color w:val="auto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auto"/>
                <w:sz w:val="16"/>
                <w:szCs w:val="16"/>
              </w:rPr>
              <m:t>PU</m:t>
            </m:r>
          </m:e>
          <m:sub>
            <m:r>
              <w:rPr>
                <w:rFonts w:ascii="Cambria Math" w:hAnsi="Cambria Math"/>
                <w:color w:val="auto"/>
                <w:sz w:val="16"/>
                <w:szCs w:val="16"/>
              </w:rPr>
              <m:t>20%</m:t>
            </m:r>
          </m:sub>
        </m:sSub>
      </m:oMath>
      <w:r w:rsidRPr="005B00AD">
        <w:rPr>
          <w:rFonts w:eastAsiaTheme="minorEastAsia"/>
          <w:i w:val="0"/>
          <w:color w:val="auto"/>
          <w:sz w:val="16"/>
          <w:szCs w:val="16"/>
        </w:rPr>
        <w:t xml:space="preserve">: percentage of underestimation, </w:t>
      </w:r>
      <m:oMath>
        <m:sSub>
          <m:sSubPr>
            <m:ctrlPr>
              <w:rPr>
                <w:rFonts w:ascii="Cambria Math" w:hAnsi="Cambria Math"/>
                <w:i w:val="0"/>
                <w:color w:val="auto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auto"/>
                <w:sz w:val="16"/>
                <w:szCs w:val="16"/>
              </w:rPr>
              <m:t>PO</m:t>
            </m:r>
          </m:e>
          <m:sub>
            <m:r>
              <w:rPr>
                <w:rFonts w:ascii="Cambria Math" w:hAnsi="Cambria Math"/>
                <w:color w:val="auto"/>
                <w:sz w:val="16"/>
                <w:szCs w:val="16"/>
              </w:rPr>
              <m:t>20%</m:t>
            </m:r>
          </m:sub>
        </m:sSub>
      </m:oMath>
      <w:r w:rsidRPr="005B00AD">
        <w:rPr>
          <w:rFonts w:eastAsiaTheme="minorEastAsia"/>
          <w:i w:val="0"/>
          <w:color w:val="auto"/>
          <w:sz w:val="16"/>
          <w:szCs w:val="16"/>
        </w:rPr>
        <w:t>: percentage of overestimation,</w:t>
      </w:r>
      <m:oMath>
        <m:r>
          <w:rPr>
            <w:rFonts w:ascii="Cambria Math" w:eastAsiaTheme="minorEastAsia" w:hAnsi="Cambria Math"/>
            <w:color w:val="auto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color w:val="auto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auto"/>
                <w:sz w:val="16"/>
                <w:szCs w:val="16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16"/>
                <w:szCs w:val="16"/>
              </w:rPr>
              <m:t>s</m:t>
            </m:r>
          </m:sub>
        </m:sSub>
      </m:oMath>
      <w:r w:rsidRPr="005B00AD">
        <w:rPr>
          <w:rFonts w:eastAsiaTheme="minorEastAsia"/>
          <w:i w:val="0"/>
          <w:color w:val="auto"/>
          <w:sz w:val="16"/>
          <w:szCs w:val="16"/>
        </w:rPr>
        <w:t xml:space="preserve">: </w:t>
      </w:r>
      <w:r>
        <w:rPr>
          <w:rFonts w:eastAsiaTheme="minorEastAsia"/>
          <w:i w:val="0"/>
          <w:color w:val="auto"/>
          <w:sz w:val="16"/>
          <w:szCs w:val="16"/>
        </w:rPr>
        <w:t xml:space="preserve">Spearman’s </w:t>
      </w:r>
      <w:r w:rsidRPr="005B00AD">
        <w:rPr>
          <w:rFonts w:eastAsiaTheme="minorEastAsia"/>
          <w:i w:val="0"/>
          <w:color w:val="auto"/>
          <w:sz w:val="16"/>
          <w:szCs w:val="16"/>
        </w:rPr>
        <w:t>ran</w:t>
      </w:r>
      <w:r>
        <w:rPr>
          <w:rFonts w:eastAsiaTheme="minorEastAsia"/>
          <w:i w:val="0"/>
          <w:color w:val="auto"/>
          <w:sz w:val="16"/>
          <w:szCs w:val="16"/>
        </w:rPr>
        <w:t>k correlation.</w:t>
      </w: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3C3DEE" w:rsidRDefault="003C3DEE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3C3DEE" w:rsidRDefault="003C3DEE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4511BB" w:rsidRDefault="004511BB" w:rsidP="007027B9">
      <w:pPr>
        <w:spacing w:after="0" w:line="240" w:lineRule="auto"/>
        <w:rPr>
          <w:b/>
          <w:color w:val="000000"/>
          <w:sz w:val="22"/>
          <w:szCs w:val="22"/>
        </w:rPr>
      </w:pPr>
    </w:p>
    <w:p w:rsidR="007027B9" w:rsidRDefault="003C3DEE" w:rsidP="007027B9">
      <w:pPr>
        <w:spacing w:after="0" w:line="240" w:lineRule="auto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Table I.</w:t>
      </w:r>
      <w:r w:rsidR="007027B9" w:rsidRPr="00230B4A">
        <w:rPr>
          <w:b/>
          <w:color w:val="000000"/>
          <w:sz w:val="22"/>
          <w:szCs w:val="22"/>
        </w:rPr>
        <w:t xml:space="preserve"> </w:t>
      </w:r>
      <w:r w:rsidR="007027B9" w:rsidRPr="00230B4A">
        <w:rPr>
          <w:b/>
          <w:iCs/>
          <w:sz w:val="22"/>
          <w:szCs w:val="22"/>
        </w:rPr>
        <w:t>F</w:t>
      </w:r>
      <w:r w:rsidR="007027B9" w:rsidRPr="00230B4A">
        <w:rPr>
          <w:b/>
          <w:sz w:val="22"/>
          <w:szCs w:val="22"/>
        </w:rPr>
        <w:t>unctional form, inefficiency distributio</w:t>
      </w:r>
      <w:r w:rsidR="00CF6C81" w:rsidRPr="00230B4A">
        <w:rPr>
          <w:b/>
          <w:sz w:val="22"/>
          <w:szCs w:val="22"/>
        </w:rPr>
        <w:t>n, and measurement error for</w:t>
      </w:r>
      <w:r w:rsidR="007027B9" w:rsidRPr="00230B4A">
        <w:rPr>
          <w:b/>
          <w:sz w:val="22"/>
          <w:szCs w:val="22"/>
        </w:rPr>
        <w:t xml:space="preserve"> single output case</w:t>
      </w:r>
      <w:r w:rsidR="00CF6C81" w:rsidRPr="00230B4A">
        <w:rPr>
          <w:b/>
          <w:sz w:val="22"/>
          <w:szCs w:val="22"/>
        </w:rPr>
        <w:t>s</w:t>
      </w:r>
      <w:r w:rsidR="0007156A">
        <w:rPr>
          <w:b/>
          <w:sz w:val="22"/>
          <w:szCs w:val="22"/>
        </w:rPr>
        <w:t>.</w:t>
      </w:r>
    </w:p>
    <w:p w:rsidR="003C3DEE" w:rsidRDefault="003C3DEE" w:rsidP="007027B9">
      <w:pPr>
        <w:spacing w:after="0" w:line="240" w:lineRule="auto"/>
        <w:rPr>
          <w:b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1890"/>
        <w:gridCol w:w="1260"/>
        <w:gridCol w:w="900"/>
        <w:gridCol w:w="1260"/>
        <w:gridCol w:w="900"/>
        <w:gridCol w:w="810"/>
        <w:gridCol w:w="715"/>
      </w:tblGrid>
      <w:tr w:rsidR="003C3DEE" w:rsidRPr="00A96506" w:rsidTr="00632134">
        <w:tc>
          <w:tcPr>
            <w:tcW w:w="1615" w:type="dxa"/>
          </w:tcPr>
          <w:p w:rsidR="003C3DEE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Inefficiency distribution</w:t>
            </w:r>
          </w:p>
        </w:tc>
        <w:tc>
          <w:tcPr>
            <w:tcW w:w="1890" w:type="dxa"/>
          </w:tcPr>
          <w:p w:rsidR="003C3DEE" w:rsidRPr="00E46827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Model specification </w:t>
            </w:r>
          </w:p>
        </w:tc>
        <w:tc>
          <w:tcPr>
            <w:tcW w:w="1260" w:type="dxa"/>
            <w:vAlign w:val="center"/>
          </w:tcPr>
          <w:p w:rsidR="003C3DEE" w:rsidRPr="00E46827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r w:rsidRPr="00E46827">
              <w:rPr>
                <w:b/>
                <w:sz w:val="22"/>
                <w:szCs w:val="22"/>
              </w:rPr>
              <w:t>Method</w:t>
            </w:r>
          </w:p>
        </w:tc>
        <w:tc>
          <w:tcPr>
            <w:tcW w:w="900" w:type="dxa"/>
            <w:vAlign w:val="center"/>
          </w:tcPr>
          <w:p w:rsidR="003C3DEE" w:rsidRPr="00E46827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r w:rsidRPr="00E46827">
              <w:rPr>
                <w:b/>
                <w:sz w:val="22"/>
                <w:szCs w:val="22"/>
              </w:rPr>
              <w:t>MAD</w:t>
            </w:r>
          </w:p>
        </w:tc>
        <w:tc>
          <w:tcPr>
            <w:tcW w:w="1260" w:type="dxa"/>
            <w:vAlign w:val="center"/>
          </w:tcPr>
          <w:p w:rsidR="003C3DEE" w:rsidRPr="00E46827" w:rsidRDefault="003C3DEE" w:rsidP="00E46827">
            <w:pPr>
              <w:spacing w:before="40" w:after="40"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E46827">
              <w:rPr>
                <w:b/>
                <w:sz w:val="22"/>
                <w:szCs w:val="22"/>
              </w:rPr>
              <w:t>NOTFront</w:t>
            </w:r>
            <w:proofErr w:type="spellEnd"/>
          </w:p>
        </w:tc>
        <w:tc>
          <w:tcPr>
            <w:tcW w:w="900" w:type="dxa"/>
            <w:vAlign w:val="center"/>
          </w:tcPr>
          <w:p w:rsidR="003C3DEE" w:rsidRPr="00A96506" w:rsidRDefault="00632134" w:rsidP="00E46827">
            <w:pPr>
              <w:spacing w:before="40" w:after="40" w:line="240" w:lineRule="auto"/>
              <w:jc w:val="center"/>
              <w:rPr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PU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20%</m:t>
                    </m:r>
                  </m:sub>
                </m:sSub>
              </m:oMath>
            </m:oMathPara>
          </w:p>
        </w:tc>
        <w:tc>
          <w:tcPr>
            <w:tcW w:w="810" w:type="dxa"/>
            <w:vAlign w:val="center"/>
          </w:tcPr>
          <w:p w:rsidR="003C3DEE" w:rsidRPr="00A96506" w:rsidRDefault="00632134" w:rsidP="00E46827">
            <w:pPr>
              <w:spacing w:before="40" w:after="40" w:line="240" w:lineRule="auto"/>
              <w:jc w:val="center"/>
              <w:rPr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PO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20%</m:t>
                    </m:r>
                  </m:sub>
                </m:sSub>
              </m:oMath>
            </m:oMathPara>
          </w:p>
        </w:tc>
        <w:tc>
          <w:tcPr>
            <w:tcW w:w="715" w:type="dxa"/>
            <w:vAlign w:val="center"/>
          </w:tcPr>
          <w:p w:rsidR="003C3DEE" w:rsidRPr="00A96506" w:rsidRDefault="00632134" w:rsidP="00E46827">
            <w:pPr>
              <w:spacing w:before="40" w:after="40" w:line="240" w:lineRule="auto"/>
              <w:jc w:val="center"/>
              <w:rPr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</m:sub>
                </m:sSub>
              </m:oMath>
            </m:oMathPara>
          </w:p>
        </w:tc>
      </w:tr>
      <w:tr w:rsidR="003C3DEE" w:rsidRPr="00A96506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b/>
                <w:color w:val="000000"/>
                <w:sz w:val="22"/>
                <w:szCs w:val="22"/>
              </w:rPr>
              <w:t>Half-normally distributed inefficiency</w:t>
            </w:r>
          </w:p>
        </w:tc>
        <w:tc>
          <w:tcPr>
            <w:tcW w:w="1890" w:type="dxa"/>
            <w:vAlign w:val="center"/>
          </w:tcPr>
          <w:p w:rsidR="003C3DEE" w:rsidRPr="009673CD" w:rsidRDefault="00632134" w:rsidP="003C3DEE">
            <w:pPr>
              <w:spacing w:before="80" w:after="80" w:line="240" w:lineRule="auto"/>
              <w:textAlignment w:val="baseline"/>
              <w:rPr>
                <w:rFonts w:eastAsiaTheme="minorEastAsia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sz w:val="22"/>
                  <w:szCs w:val="22"/>
                </w:rPr>
                <m:t>~</m:t>
              </m:r>
              <m:sSup>
                <m:sSupPr>
                  <m:ctrl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+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sz w:val="22"/>
                  <w:szCs w:val="22"/>
                </w:rPr>
                <m:t>(0,</m:t>
              </m:r>
              <m:sSup>
                <m:sSupPr>
                  <m:ctrl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0.05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sz w:val="22"/>
                  <w:szCs w:val="22"/>
                </w:rPr>
                <m:t>)</m:t>
              </m:r>
            </m:oMath>
            <w:r w:rsidR="009673CD">
              <w:rPr>
                <w:rFonts w:eastAsiaTheme="minorEastAsia"/>
                <w:color w:val="000000"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~N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0,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  <m:t>0.02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DEA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0.016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81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0.617</w:t>
            </w:r>
          </w:p>
        </w:tc>
      </w:tr>
      <w:tr w:rsidR="003C3DEE" w:rsidRPr="00A96506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rDEA</w:t>
            </w:r>
            <w:proofErr w:type="spellEnd"/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0.235</w:t>
            </w:r>
          </w:p>
        </w:tc>
      </w:tr>
      <w:tr w:rsidR="003C3DEE" w:rsidRPr="00A96506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rSDF</w:t>
            </w:r>
            <w:proofErr w:type="spellEnd"/>
            <w:r w:rsidRPr="00230B4A">
              <w:rPr>
                <w:rFonts w:eastAsia="Times New Roman"/>
                <w:color w:val="000000"/>
                <w:sz w:val="22"/>
                <w:szCs w:val="22"/>
              </w:rPr>
              <w:t>-CD</w:t>
            </w:r>
          </w:p>
        </w:tc>
        <w:tc>
          <w:tcPr>
            <w:tcW w:w="90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0.011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81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715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0.791</w:t>
            </w:r>
          </w:p>
        </w:tc>
      </w:tr>
      <w:tr w:rsidR="003C3DEE" w:rsidRPr="00A96506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ENS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0.350</w:t>
            </w:r>
          </w:p>
        </w:tc>
      </w:tr>
      <w:tr w:rsidR="003C3DEE" w:rsidRPr="00230B4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632134" w:rsidRDefault="00632134" w:rsidP="003C3DEE">
            <w:pPr>
              <w:spacing w:before="80" w:after="80" w:line="240" w:lineRule="auto"/>
              <w:textAlignment w:val="baseline"/>
              <w:rPr>
                <w:rFonts w:eastAsiaTheme="minorEastAsia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sz w:val="22"/>
                  <w:szCs w:val="22"/>
                </w:rPr>
                <m:t>~</m:t>
              </m:r>
              <m:sSup>
                <m:sSupPr>
                  <m:ctrl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+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sz w:val="22"/>
                  <w:szCs w:val="22"/>
                </w:rPr>
                <m:t>(0,</m:t>
              </m:r>
              <m:sSup>
                <m:sSupPr>
                  <m:ctrl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0.2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sz w:val="22"/>
                  <w:szCs w:val="22"/>
                </w:rPr>
                <m:t>)</m:t>
              </m:r>
            </m:oMath>
            <w:r>
              <w:rPr>
                <w:rFonts w:eastAsiaTheme="minorEastAsia"/>
                <w:color w:val="000000"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~N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0,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  <m:t>0.08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DEA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0.675</w:t>
            </w:r>
          </w:p>
        </w:tc>
      </w:tr>
      <w:tr w:rsidR="003C3DEE" w:rsidRPr="00230B4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rDEA</w:t>
            </w:r>
            <w:proofErr w:type="spellEnd"/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0.123</w:t>
            </w: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35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0.2%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0.537</w:t>
            </w:r>
          </w:p>
        </w:tc>
      </w:tr>
      <w:tr w:rsidR="003C3DEE" w:rsidRPr="0007156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rSDF</w:t>
            </w:r>
            <w:proofErr w:type="spellEnd"/>
            <w:r w:rsidRPr="00230B4A">
              <w:rPr>
                <w:rFonts w:eastAsia="Times New Roman"/>
                <w:color w:val="000000"/>
                <w:sz w:val="22"/>
                <w:szCs w:val="22"/>
              </w:rPr>
              <w:t>-CD</w:t>
            </w:r>
          </w:p>
        </w:tc>
        <w:tc>
          <w:tcPr>
            <w:tcW w:w="90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0.2%</w:t>
            </w:r>
          </w:p>
        </w:tc>
        <w:tc>
          <w:tcPr>
            <w:tcW w:w="81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15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0.791</w:t>
            </w:r>
          </w:p>
        </w:tc>
      </w:tr>
      <w:tr w:rsidR="003C3DEE" w:rsidRPr="00230B4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ENS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0.2%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0.663</w:t>
            </w:r>
          </w:p>
        </w:tc>
      </w:tr>
      <w:tr w:rsidR="003C3DEE" w:rsidRPr="00230B4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Uniformly distributed inefficiency</w:t>
            </w:r>
          </w:p>
        </w:tc>
        <w:tc>
          <w:tcPr>
            <w:tcW w:w="1890" w:type="dxa"/>
            <w:vAlign w:val="center"/>
          </w:tcPr>
          <w:p w:rsidR="003C3DEE" w:rsidRPr="00230B4A" w:rsidRDefault="00632134" w:rsidP="003C3DEE">
            <w:pPr>
              <w:spacing w:before="80" w:after="8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sz w:val="22"/>
                  <w:szCs w:val="22"/>
                </w:rPr>
                <m:t>~unif</m:t>
              </m:r>
              <m:d>
                <m:dPr>
                  <m:ctrl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0,1</m:t>
                  </m:r>
                </m:e>
              </m:d>
            </m:oMath>
            <w:r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~N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0,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  <m:t>0.05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  <w:p w:rsidR="003C3DEE" w:rsidRPr="003C3DEE" w:rsidRDefault="003C3DEE" w:rsidP="003C3DEE">
            <w:pPr>
              <w:spacing w:before="80" w:after="80" w:line="240" w:lineRule="auto"/>
              <w:textAlignment w:val="baseline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DEA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81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0.961</w:t>
            </w:r>
          </w:p>
        </w:tc>
        <w:bookmarkStart w:id="0" w:name="_GoBack"/>
        <w:bookmarkEnd w:id="0"/>
      </w:tr>
      <w:tr w:rsidR="003C3DEE" w:rsidRPr="00230B4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rDEA</w:t>
            </w:r>
            <w:proofErr w:type="spellEnd"/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0.950</w:t>
            </w:r>
          </w:p>
        </w:tc>
      </w:tr>
      <w:tr w:rsidR="003C3DEE" w:rsidRPr="0007156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rSDF</w:t>
            </w:r>
            <w:proofErr w:type="spellEnd"/>
            <w:r w:rsidRPr="00230B4A">
              <w:rPr>
                <w:rFonts w:eastAsia="Times New Roman"/>
                <w:color w:val="000000"/>
                <w:sz w:val="22"/>
                <w:szCs w:val="22"/>
              </w:rPr>
              <w:t>-CD</w:t>
            </w:r>
          </w:p>
        </w:tc>
        <w:tc>
          <w:tcPr>
            <w:tcW w:w="90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15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0.990</w:t>
            </w:r>
          </w:p>
        </w:tc>
      </w:tr>
      <w:tr w:rsidR="003C3DEE" w:rsidRPr="00230B4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ENS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0.4%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0.981</w:t>
            </w:r>
          </w:p>
        </w:tc>
      </w:tr>
      <w:tr w:rsidR="003C3DEE" w:rsidRPr="00230B4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230B4A" w:rsidRDefault="00632134" w:rsidP="003C3DEE">
            <w:pPr>
              <w:spacing w:before="80" w:after="8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sz w:val="22"/>
                  <w:szCs w:val="22"/>
                </w:rPr>
                <m:t>~unif</m:t>
              </m:r>
              <m:d>
                <m:dPr>
                  <m:ctrl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2"/>
                      <w:szCs w:val="22"/>
                    </w:rPr>
                    <m:t>0,1</m:t>
                  </m:r>
                </m:e>
              </m:d>
            </m:oMath>
            <w:r>
              <w:rPr>
                <w:rFonts w:eastAsia="Times New Roman"/>
                <w:color w:val="000000"/>
                <w:sz w:val="22"/>
                <w:szCs w:val="22"/>
              </w:rPr>
              <w:t>,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~N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0,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  <m:t>0.20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  <w:p w:rsidR="003C3DEE" w:rsidRPr="003C3DEE" w:rsidRDefault="003C3DEE" w:rsidP="003C3DEE">
            <w:pPr>
              <w:spacing w:before="80" w:after="80" w:line="240" w:lineRule="auto"/>
              <w:textAlignment w:val="baseline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DEA</w:t>
            </w:r>
          </w:p>
        </w:tc>
        <w:tc>
          <w:tcPr>
            <w:tcW w:w="900" w:type="dxa"/>
            <w:vAlign w:val="center"/>
          </w:tcPr>
          <w:p w:rsidR="003C3DEE" w:rsidRPr="007A2532" w:rsidRDefault="003C3DEE" w:rsidP="003C3DEE">
            <w:pPr>
              <w:spacing w:before="80" w:after="8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17.6%</w:t>
            </w:r>
          </w:p>
        </w:tc>
        <w:tc>
          <w:tcPr>
            <w:tcW w:w="81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23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0.903</w:t>
            </w:r>
          </w:p>
        </w:tc>
      </w:tr>
      <w:tr w:rsidR="003C3DEE" w:rsidRPr="00230B4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rDEA</w:t>
            </w:r>
            <w:proofErr w:type="spellEnd"/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0.090</w:t>
            </w: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51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0.900</w:t>
            </w:r>
          </w:p>
        </w:tc>
      </w:tr>
      <w:tr w:rsidR="003C3DEE" w:rsidRPr="0007156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230B4A">
              <w:rPr>
                <w:rFonts w:eastAsia="Times New Roman"/>
                <w:color w:val="000000"/>
                <w:sz w:val="22"/>
                <w:szCs w:val="22"/>
              </w:rPr>
              <w:t>rSDF</w:t>
            </w:r>
            <w:proofErr w:type="spellEnd"/>
            <w:r w:rsidRPr="00230B4A">
              <w:rPr>
                <w:rFonts w:eastAsia="Times New Roman"/>
                <w:color w:val="000000"/>
                <w:sz w:val="22"/>
                <w:szCs w:val="22"/>
              </w:rPr>
              <w:t>-CD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0.071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39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15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0.935</w:t>
            </w:r>
          </w:p>
        </w:tc>
      </w:tr>
      <w:tr w:rsidR="003C3DEE" w:rsidRPr="00230B4A" w:rsidTr="00632134">
        <w:tc>
          <w:tcPr>
            <w:tcW w:w="1615" w:type="dxa"/>
          </w:tcPr>
          <w:p w:rsidR="003C3DEE" w:rsidRPr="000F79C1" w:rsidRDefault="003C3DEE" w:rsidP="003C3DEE">
            <w:pPr>
              <w:spacing w:before="40" w:after="4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3C3DEE" w:rsidRPr="00E46827" w:rsidRDefault="003C3DEE" w:rsidP="003C3DEE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C3DEE" w:rsidRPr="00230B4A" w:rsidRDefault="003C3DEE" w:rsidP="003C3DEE">
            <w:pPr>
              <w:spacing w:before="80" w:after="8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230B4A">
              <w:rPr>
                <w:rFonts w:eastAsia="Times New Roman"/>
                <w:color w:val="000000"/>
                <w:sz w:val="22"/>
                <w:szCs w:val="22"/>
              </w:rPr>
              <w:t>ENS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126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0.0%</w:t>
            </w:r>
          </w:p>
        </w:tc>
        <w:tc>
          <w:tcPr>
            <w:tcW w:w="900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46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30B4A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10" w:type="dxa"/>
            <w:vAlign w:val="center"/>
          </w:tcPr>
          <w:p w:rsidR="003C3DEE" w:rsidRPr="007A2532" w:rsidRDefault="003C3DEE" w:rsidP="003C3DEE">
            <w:pPr>
              <w:spacing w:before="80" w:after="80"/>
              <w:jc w:val="center"/>
              <w:rPr>
                <w:b/>
                <w:color w:val="000000"/>
                <w:sz w:val="22"/>
                <w:szCs w:val="22"/>
              </w:rPr>
            </w:pPr>
            <w:r w:rsidRPr="007A2532">
              <w:rPr>
                <w:b/>
                <w:color w:val="000000"/>
                <w:sz w:val="22"/>
                <w:szCs w:val="22"/>
              </w:rPr>
              <w:t>3.9%</w:t>
            </w:r>
          </w:p>
        </w:tc>
        <w:tc>
          <w:tcPr>
            <w:tcW w:w="715" w:type="dxa"/>
            <w:vAlign w:val="center"/>
          </w:tcPr>
          <w:p w:rsidR="003C3DEE" w:rsidRPr="00230B4A" w:rsidRDefault="003C3DEE" w:rsidP="003C3DEE">
            <w:pPr>
              <w:spacing w:before="80" w:after="80"/>
              <w:jc w:val="center"/>
              <w:rPr>
                <w:color w:val="000000"/>
                <w:sz w:val="22"/>
                <w:szCs w:val="22"/>
              </w:rPr>
            </w:pPr>
            <w:r w:rsidRPr="00230B4A">
              <w:rPr>
                <w:color w:val="000000"/>
                <w:sz w:val="22"/>
                <w:szCs w:val="22"/>
              </w:rPr>
              <w:t>0.930</w:t>
            </w:r>
          </w:p>
        </w:tc>
      </w:tr>
    </w:tbl>
    <w:p w:rsidR="003C3DEE" w:rsidRPr="00230B4A" w:rsidRDefault="003C3DEE" w:rsidP="007027B9">
      <w:pPr>
        <w:spacing w:after="0" w:line="240" w:lineRule="auto"/>
        <w:rPr>
          <w:b/>
          <w:sz w:val="22"/>
          <w:szCs w:val="22"/>
        </w:rPr>
      </w:pPr>
    </w:p>
    <w:p w:rsidR="00CF6C81" w:rsidRPr="00CF6C81" w:rsidRDefault="007027B9" w:rsidP="003C3DEE">
      <w:pPr>
        <w:spacing w:after="0" w:line="240" w:lineRule="auto"/>
        <w:rPr>
          <w:i/>
          <w:sz w:val="8"/>
          <w:szCs w:val="8"/>
        </w:rPr>
      </w:pPr>
      <w:r w:rsidRPr="005B00AD">
        <w:rPr>
          <w:b/>
        </w:rPr>
        <w:t xml:space="preserve"> </w:t>
      </w:r>
    </w:p>
    <w:p w:rsidR="0007156A" w:rsidRDefault="0007156A" w:rsidP="0007156A">
      <w:pPr>
        <w:pStyle w:val="Caption"/>
        <w:keepNext/>
        <w:spacing w:after="0"/>
        <w:rPr>
          <w:rFonts w:eastAsiaTheme="minorEastAsia"/>
          <w:i w:val="0"/>
          <w:color w:val="auto"/>
          <w:sz w:val="16"/>
          <w:szCs w:val="16"/>
        </w:rPr>
      </w:pPr>
      <w:r>
        <w:rPr>
          <w:i w:val="0"/>
          <w:color w:val="auto"/>
          <w:sz w:val="16"/>
          <w:szCs w:val="16"/>
        </w:rPr>
        <w:t xml:space="preserve">Note: </w:t>
      </w:r>
      <w:r w:rsidRPr="005B00AD">
        <w:rPr>
          <w:i w:val="0"/>
          <w:color w:val="auto"/>
          <w:sz w:val="16"/>
          <w:szCs w:val="16"/>
        </w:rPr>
        <w:t xml:space="preserve">Numbers in </w:t>
      </w:r>
      <w:r w:rsidRPr="005B00AD">
        <w:rPr>
          <w:b/>
          <w:i w:val="0"/>
          <w:color w:val="auto"/>
          <w:sz w:val="16"/>
          <w:szCs w:val="16"/>
        </w:rPr>
        <w:t>bold</w:t>
      </w:r>
      <w:r w:rsidRPr="005B00AD">
        <w:rPr>
          <w:i w:val="0"/>
          <w:color w:val="auto"/>
          <w:sz w:val="16"/>
          <w:szCs w:val="16"/>
        </w:rPr>
        <w:t xml:space="preserve"> highlight the best outcome for each performance indicator across the alternative approaches.</w:t>
      </w:r>
      <w:r>
        <w:rPr>
          <w:i w:val="0"/>
          <w:color w:val="auto"/>
          <w:sz w:val="16"/>
          <w:szCs w:val="16"/>
        </w:rPr>
        <w:t xml:space="preserve"> </w:t>
      </w:r>
      <w:r w:rsidRPr="005B00AD">
        <w:rPr>
          <w:i w:val="0"/>
          <w:color w:val="auto"/>
          <w:sz w:val="16"/>
          <w:szCs w:val="16"/>
        </w:rPr>
        <w:t xml:space="preserve">MAD: median absolute deviation, </w:t>
      </w:r>
      <w:proofErr w:type="spellStart"/>
      <w:r w:rsidRPr="005B00AD">
        <w:rPr>
          <w:i w:val="0"/>
          <w:color w:val="auto"/>
          <w:sz w:val="16"/>
          <w:szCs w:val="16"/>
        </w:rPr>
        <w:t>NOTFront</w:t>
      </w:r>
      <w:proofErr w:type="spellEnd"/>
      <w:r w:rsidRPr="005B00AD">
        <w:rPr>
          <w:i w:val="0"/>
          <w:color w:val="auto"/>
          <w:sz w:val="16"/>
          <w:szCs w:val="16"/>
        </w:rPr>
        <w:t>: percentage of misclassified DMUs</w:t>
      </w:r>
      <w:proofErr w:type="gramStart"/>
      <w:r w:rsidRPr="005B00AD">
        <w:rPr>
          <w:i w:val="0"/>
          <w:color w:val="auto"/>
          <w:sz w:val="16"/>
          <w:szCs w:val="16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 w:val="0"/>
                <w:color w:val="auto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auto"/>
                <w:sz w:val="16"/>
                <w:szCs w:val="16"/>
              </w:rPr>
              <m:t>PU</m:t>
            </m:r>
          </m:e>
          <m:sub>
            <m:r>
              <w:rPr>
                <w:rFonts w:ascii="Cambria Math" w:hAnsi="Cambria Math"/>
                <w:color w:val="auto"/>
                <w:sz w:val="16"/>
                <w:szCs w:val="16"/>
              </w:rPr>
              <m:t>20%</m:t>
            </m:r>
          </m:sub>
        </m:sSub>
      </m:oMath>
      <w:r w:rsidRPr="005B00AD">
        <w:rPr>
          <w:rFonts w:eastAsiaTheme="minorEastAsia"/>
          <w:i w:val="0"/>
          <w:color w:val="auto"/>
          <w:sz w:val="16"/>
          <w:szCs w:val="16"/>
        </w:rPr>
        <w:t xml:space="preserve">: percentage of underestimation, </w:t>
      </w:r>
      <m:oMath>
        <m:sSub>
          <m:sSubPr>
            <m:ctrlPr>
              <w:rPr>
                <w:rFonts w:ascii="Cambria Math" w:hAnsi="Cambria Math"/>
                <w:i w:val="0"/>
                <w:color w:val="auto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auto"/>
                <w:sz w:val="16"/>
                <w:szCs w:val="16"/>
              </w:rPr>
              <m:t>PO</m:t>
            </m:r>
          </m:e>
          <m:sub>
            <m:r>
              <w:rPr>
                <w:rFonts w:ascii="Cambria Math" w:hAnsi="Cambria Math"/>
                <w:color w:val="auto"/>
                <w:sz w:val="16"/>
                <w:szCs w:val="16"/>
              </w:rPr>
              <m:t>20%</m:t>
            </m:r>
          </m:sub>
        </m:sSub>
      </m:oMath>
      <w:r w:rsidRPr="005B00AD">
        <w:rPr>
          <w:rFonts w:eastAsiaTheme="minorEastAsia"/>
          <w:i w:val="0"/>
          <w:color w:val="auto"/>
          <w:sz w:val="16"/>
          <w:szCs w:val="16"/>
        </w:rPr>
        <w:t>: percentage of overestimation,</w:t>
      </w:r>
      <m:oMath>
        <m:r>
          <w:rPr>
            <w:rFonts w:ascii="Cambria Math" w:eastAsiaTheme="minorEastAsia" w:hAnsi="Cambria Math"/>
            <w:color w:val="auto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color w:val="auto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auto"/>
                <w:sz w:val="16"/>
                <w:szCs w:val="16"/>
              </w:rPr>
              <m:t>r</m:t>
            </m:r>
          </m:e>
          <m:sub>
            <m:r>
              <w:rPr>
                <w:rFonts w:ascii="Cambria Math" w:eastAsiaTheme="minorEastAsia" w:hAnsi="Cambria Math"/>
                <w:color w:val="auto"/>
                <w:sz w:val="16"/>
                <w:szCs w:val="16"/>
              </w:rPr>
              <m:t>s</m:t>
            </m:r>
          </m:sub>
        </m:sSub>
      </m:oMath>
      <w:r w:rsidRPr="005B00AD">
        <w:rPr>
          <w:rFonts w:eastAsiaTheme="minorEastAsia"/>
          <w:i w:val="0"/>
          <w:color w:val="auto"/>
          <w:sz w:val="16"/>
          <w:szCs w:val="16"/>
        </w:rPr>
        <w:t xml:space="preserve">: </w:t>
      </w:r>
      <w:r w:rsidR="001227F3">
        <w:rPr>
          <w:rFonts w:eastAsiaTheme="minorEastAsia"/>
          <w:i w:val="0"/>
          <w:color w:val="auto"/>
          <w:sz w:val="16"/>
          <w:szCs w:val="16"/>
        </w:rPr>
        <w:t xml:space="preserve">Spearman’s </w:t>
      </w:r>
      <w:r w:rsidRPr="005B00AD">
        <w:rPr>
          <w:rFonts w:eastAsiaTheme="minorEastAsia"/>
          <w:i w:val="0"/>
          <w:color w:val="auto"/>
          <w:sz w:val="16"/>
          <w:szCs w:val="16"/>
        </w:rPr>
        <w:t>ran</w:t>
      </w:r>
      <w:r>
        <w:rPr>
          <w:rFonts w:eastAsiaTheme="minorEastAsia"/>
          <w:i w:val="0"/>
          <w:color w:val="auto"/>
          <w:sz w:val="16"/>
          <w:szCs w:val="16"/>
        </w:rPr>
        <w:t>k correlation.</w:t>
      </w:r>
    </w:p>
    <w:p w:rsidR="00561784" w:rsidRDefault="00561784"/>
    <w:sectPr w:rsidR="00561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7B9"/>
    <w:rsid w:val="0007156A"/>
    <w:rsid w:val="001227F3"/>
    <w:rsid w:val="001350E4"/>
    <w:rsid w:val="00192B89"/>
    <w:rsid w:val="001E4FBE"/>
    <w:rsid w:val="00214BFE"/>
    <w:rsid w:val="00230B4A"/>
    <w:rsid w:val="00262711"/>
    <w:rsid w:val="002B3BAE"/>
    <w:rsid w:val="003C3DEE"/>
    <w:rsid w:val="003F07E2"/>
    <w:rsid w:val="004511BB"/>
    <w:rsid w:val="004D26D2"/>
    <w:rsid w:val="00561784"/>
    <w:rsid w:val="00632134"/>
    <w:rsid w:val="007027B9"/>
    <w:rsid w:val="007A2532"/>
    <w:rsid w:val="008A4A94"/>
    <w:rsid w:val="009673CD"/>
    <w:rsid w:val="00B226D8"/>
    <w:rsid w:val="00CF6C81"/>
    <w:rsid w:val="00FB1C7D"/>
    <w:rsid w:val="00FE41F1"/>
    <w:rsid w:val="00FF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AFF4B6-7F76-4BBC-B8F7-498A8294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7B9"/>
    <w:pPr>
      <w:spacing w:line="256" w:lineRule="auto"/>
    </w:pPr>
    <w:rPr>
      <w:rFonts w:ascii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27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2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2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7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27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27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027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7B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7B9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7027B9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7027B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7027B9"/>
    <w:rPr>
      <w:rFonts w:ascii="Times New Roman" w:hAnsi="Times New Roman" w:cs="Times New Roman"/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3AFEC-CE26-4FC2-A9B4-4DB0FA776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Di Giorgio</dc:creator>
  <cp:keywords/>
  <dc:description/>
  <cp:lastModifiedBy>Nancy</cp:lastModifiedBy>
  <cp:revision>13</cp:revision>
  <dcterms:created xsi:type="dcterms:W3CDTF">2015-12-17T00:16:00Z</dcterms:created>
  <dcterms:modified xsi:type="dcterms:W3CDTF">2016-01-06T22:34:00Z</dcterms:modified>
</cp:coreProperties>
</file>