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A05" w:rsidRPr="00B51F09" w:rsidRDefault="00EF0A05" w:rsidP="00EF0A05">
      <w:pPr>
        <w:autoSpaceDE w:val="0"/>
        <w:autoSpaceDN w:val="0"/>
        <w:adjustRightInd w:val="0"/>
        <w:rPr>
          <w:rFonts w:eastAsiaTheme="minorEastAsia"/>
          <w:b/>
          <w:szCs w:val="21"/>
        </w:rPr>
      </w:pPr>
      <w:r w:rsidRPr="00B51F09">
        <w:rPr>
          <w:rFonts w:eastAsiaTheme="minorEastAsia"/>
          <w:b/>
          <w:szCs w:val="21"/>
        </w:rPr>
        <w:t>Table</w:t>
      </w:r>
      <w:r w:rsidR="002B7CD0" w:rsidRPr="002B7CD0">
        <w:rPr>
          <w:rFonts w:eastAsiaTheme="minorEastAsia" w:hint="eastAsia"/>
          <w:b/>
          <w:szCs w:val="21"/>
        </w:rPr>
        <w:t xml:space="preserve"> </w:t>
      </w:r>
      <w:r w:rsidR="004A1FC0">
        <w:rPr>
          <w:rFonts w:eastAsiaTheme="minorEastAsia"/>
          <w:b/>
          <w:szCs w:val="21"/>
        </w:rPr>
        <w:t>S2</w:t>
      </w:r>
      <w:r w:rsidRPr="00B51F09">
        <w:rPr>
          <w:rFonts w:eastAsiaTheme="minorEastAsia"/>
          <w:b/>
          <w:szCs w:val="21"/>
        </w:rPr>
        <w:t>. Clinical parameters of patients and protein positive expression rates for NOM</w:t>
      </w:r>
      <w:r>
        <w:rPr>
          <w:rFonts w:eastAsiaTheme="minorEastAsia"/>
          <w:b/>
          <w:szCs w:val="21"/>
        </w:rPr>
        <w:t xml:space="preserve">, </w:t>
      </w:r>
      <w:bookmarkStart w:id="0" w:name="_GoBack"/>
      <w:bookmarkEnd w:id="0"/>
      <w:r w:rsidRPr="00B51F09">
        <w:rPr>
          <w:rFonts w:eastAsiaTheme="minorEastAsia"/>
          <w:b/>
          <w:szCs w:val="21"/>
        </w:rPr>
        <w:t>OLK and OSCC.</w:t>
      </w:r>
    </w:p>
    <w:tbl>
      <w:tblPr>
        <w:tblStyle w:val="3"/>
        <w:tblW w:w="8624" w:type="dxa"/>
        <w:tblBorders>
          <w:top w:val="single" w:sz="4" w:space="0" w:color="auto"/>
          <w:bottom w:val="single" w:sz="4" w:space="0" w:color="auto"/>
          <w:insideH w:val="none" w:sz="0" w:space="0" w:color="auto"/>
        </w:tblBorders>
        <w:tblLayout w:type="fixed"/>
        <w:tblLook w:val="04A0"/>
      </w:tblPr>
      <w:tblGrid>
        <w:gridCol w:w="1275"/>
        <w:gridCol w:w="784"/>
        <w:gridCol w:w="783"/>
        <w:gridCol w:w="914"/>
        <w:gridCol w:w="1314"/>
        <w:gridCol w:w="1120"/>
        <w:gridCol w:w="1217"/>
        <w:gridCol w:w="1217"/>
      </w:tblGrid>
      <w:tr w:rsidR="00EF0A05" w:rsidRPr="00D4352F" w:rsidTr="00700C03">
        <w:trPr>
          <w:cnfStyle w:val="100000000000"/>
          <w:trHeight w:val="210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szCs w:val="21"/>
              </w:rPr>
            </w:pPr>
            <w:r w:rsidRPr="00270C07">
              <w:rPr>
                <w:rFonts w:eastAsiaTheme="minorEastAsia"/>
                <w:b w:val="0"/>
                <w:color w:val="auto"/>
                <w:szCs w:val="21"/>
              </w:rPr>
              <w:t>Group</w:t>
            </w:r>
          </w:p>
        </w:tc>
        <w:tc>
          <w:tcPr>
            <w:tcW w:w="784" w:type="dxa"/>
            <w:vMerge w:val="restart"/>
            <w:tcBorders>
              <w:top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color w:val="auto"/>
                <w:szCs w:val="21"/>
              </w:rPr>
            </w:pPr>
            <w:r w:rsidRPr="00270C07">
              <w:rPr>
                <w:rFonts w:eastAsiaTheme="minorEastAsia"/>
                <w:b w:val="0"/>
                <w:color w:val="auto"/>
                <w:szCs w:val="21"/>
              </w:rPr>
              <w:t>n</w:t>
            </w:r>
          </w:p>
        </w:tc>
        <w:tc>
          <w:tcPr>
            <w:tcW w:w="783" w:type="dxa"/>
            <w:vMerge w:val="restart"/>
            <w:tcBorders>
              <w:top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bCs w:val="0"/>
                <w:color w:val="auto"/>
                <w:szCs w:val="21"/>
              </w:rPr>
            </w:pPr>
            <w:r w:rsidRPr="00270C07">
              <w:rPr>
                <w:rFonts w:eastAsiaTheme="minorEastAsia"/>
                <w:b w:val="0"/>
                <w:color w:val="auto"/>
                <w:szCs w:val="21"/>
              </w:rPr>
              <w:t>Male</w:t>
            </w:r>
          </w:p>
        </w:tc>
        <w:tc>
          <w:tcPr>
            <w:tcW w:w="914" w:type="dxa"/>
            <w:vMerge w:val="restart"/>
            <w:tcBorders>
              <w:top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bCs w:val="0"/>
                <w:color w:val="auto"/>
                <w:szCs w:val="21"/>
              </w:rPr>
            </w:pPr>
            <w:r w:rsidRPr="00270C07">
              <w:rPr>
                <w:rFonts w:eastAsiaTheme="minorEastAsia"/>
                <w:b w:val="0"/>
                <w:color w:val="auto"/>
                <w:szCs w:val="21"/>
              </w:rPr>
              <w:t>Female</w:t>
            </w:r>
          </w:p>
        </w:tc>
        <w:tc>
          <w:tcPr>
            <w:tcW w:w="1314" w:type="dxa"/>
            <w:vMerge w:val="restart"/>
            <w:tcBorders>
              <w:top w:val="single" w:sz="12" w:space="0" w:color="auto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 w:val="0"/>
                <w:bCs w:val="0"/>
                <w:color w:val="auto"/>
                <w:szCs w:val="21"/>
              </w:rPr>
            </w:pPr>
            <w:r w:rsidRPr="00270C07">
              <w:rPr>
                <w:rFonts w:eastAsiaTheme="minorEastAsia"/>
                <w:b w:val="0"/>
                <w:color w:val="auto"/>
                <w:szCs w:val="21"/>
              </w:rPr>
              <w:t>Age(±sd)</w:t>
            </w:r>
          </w:p>
        </w:tc>
        <w:tc>
          <w:tcPr>
            <w:tcW w:w="3554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 w:val="0"/>
                <w:bCs w:val="0"/>
                <w:color w:val="auto"/>
                <w:sz w:val="44"/>
                <w:szCs w:val="21"/>
              </w:rPr>
            </w:pPr>
            <w:r w:rsidRPr="00270C07">
              <w:rPr>
                <w:rFonts w:eastAsiaTheme="minorEastAsia"/>
                <w:b w:val="0"/>
                <w:color w:val="auto"/>
                <w:szCs w:val="21"/>
              </w:rPr>
              <w:t>Positive Rate(%)</w:t>
            </w:r>
          </w:p>
        </w:tc>
      </w:tr>
      <w:tr w:rsidR="00EF0A05" w:rsidRPr="00D4352F" w:rsidTr="00700C03">
        <w:trPr>
          <w:trHeight w:val="210"/>
        </w:trPr>
        <w:tc>
          <w:tcPr>
            <w:tcW w:w="1275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szCs w:val="21"/>
              </w:rPr>
            </w:pPr>
          </w:p>
        </w:tc>
        <w:tc>
          <w:tcPr>
            <w:tcW w:w="784" w:type="dxa"/>
            <w:vMerge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szCs w:val="21"/>
              </w:rPr>
            </w:pPr>
          </w:p>
        </w:tc>
        <w:tc>
          <w:tcPr>
            <w:tcW w:w="783" w:type="dxa"/>
            <w:vMerge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szCs w:val="21"/>
              </w:rPr>
            </w:pPr>
          </w:p>
        </w:tc>
        <w:tc>
          <w:tcPr>
            <w:tcW w:w="914" w:type="dxa"/>
            <w:vMerge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szCs w:val="21"/>
              </w:rPr>
            </w:pPr>
          </w:p>
        </w:tc>
        <w:tc>
          <w:tcPr>
            <w:tcW w:w="1314" w:type="dxa"/>
            <w:vMerge/>
            <w:tcBorders>
              <w:bottom w:val="single" w:sz="12" w:space="0" w:color="auto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szCs w:val="21"/>
              </w:rPr>
            </w:pPr>
          </w:p>
        </w:tc>
        <w:tc>
          <w:tcPr>
            <w:tcW w:w="11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MMP9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BGH3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PDIA3</w:t>
            </w:r>
          </w:p>
        </w:tc>
      </w:tr>
      <w:tr w:rsidR="00EF0A05" w:rsidRPr="00D4352F" w:rsidTr="00700C03">
        <w:trPr>
          <w:trHeight w:val="594"/>
        </w:trPr>
        <w:tc>
          <w:tcPr>
            <w:tcW w:w="1275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NOM</w:t>
            </w:r>
          </w:p>
        </w:tc>
        <w:tc>
          <w:tcPr>
            <w:tcW w:w="784" w:type="dxa"/>
            <w:tcBorders>
              <w:top w:val="single" w:sz="12" w:space="0" w:color="auto"/>
              <w:bottom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12</w:t>
            </w:r>
          </w:p>
        </w:tc>
        <w:tc>
          <w:tcPr>
            <w:tcW w:w="783" w:type="dxa"/>
            <w:tcBorders>
              <w:top w:val="single" w:sz="12" w:space="0" w:color="auto"/>
              <w:bottom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5</w:t>
            </w:r>
          </w:p>
        </w:tc>
        <w:tc>
          <w:tcPr>
            <w:tcW w:w="914" w:type="dxa"/>
            <w:tcBorders>
              <w:top w:val="single" w:sz="12" w:space="0" w:color="auto"/>
              <w:bottom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7</w:t>
            </w:r>
          </w:p>
        </w:tc>
        <w:tc>
          <w:tcPr>
            <w:tcW w:w="1314" w:type="dxa"/>
            <w:tcBorders>
              <w:top w:val="single" w:sz="12" w:space="0" w:color="auto"/>
              <w:bottom w:val="nil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42.6(±10.6)</w:t>
            </w:r>
          </w:p>
        </w:tc>
        <w:tc>
          <w:tcPr>
            <w:tcW w:w="1120" w:type="dxa"/>
            <w:tcBorders>
              <w:top w:val="single" w:sz="12" w:space="0" w:color="auto"/>
              <w:bottom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11/12</w:t>
            </w:r>
          </w:p>
        </w:tc>
        <w:tc>
          <w:tcPr>
            <w:tcW w:w="1217" w:type="dxa"/>
            <w:tcBorders>
              <w:top w:val="single" w:sz="12" w:space="0" w:color="auto"/>
              <w:bottom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7/12</w:t>
            </w:r>
          </w:p>
        </w:tc>
        <w:tc>
          <w:tcPr>
            <w:tcW w:w="1217" w:type="dxa"/>
            <w:tcBorders>
              <w:top w:val="single" w:sz="12" w:space="0" w:color="auto"/>
              <w:bottom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0/12</w:t>
            </w:r>
          </w:p>
        </w:tc>
      </w:tr>
      <w:tr w:rsidR="00EF0A05" w:rsidRPr="00D4352F" w:rsidTr="00700C03">
        <w:trPr>
          <w:trHeight w:val="594"/>
        </w:trPr>
        <w:tc>
          <w:tcPr>
            <w:tcW w:w="1275" w:type="dxa"/>
            <w:tcBorders>
              <w:top w:val="nil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OLK</w:t>
            </w:r>
          </w:p>
        </w:tc>
        <w:tc>
          <w:tcPr>
            <w:tcW w:w="784" w:type="dxa"/>
            <w:tcBorders>
              <w:top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20</w:t>
            </w:r>
          </w:p>
        </w:tc>
        <w:tc>
          <w:tcPr>
            <w:tcW w:w="783" w:type="dxa"/>
            <w:tcBorders>
              <w:top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16</w:t>
            </w:r>
          </w:p>
        </w:tc>
        <w:tc>
          <w:tcPr>
            <w:tcW w:w="914" w:type="dxa"/>
            <w:tcBorders>
              <w:top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4</w:t>
            </w:r>
          </w:p>
        </w:tc>
        <w:tc>
          <w:tcPr>
            <w:tcW w:w="1314" w:type="dxa"/>
            <w:tcBorders>
              <w:top w:val="nil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57.9(±9.6)</w:t>
            </w:r>
          </w:p>
        </w:tc>
        <w:tc>
          <w:tcPr>
            <w:tcW w:w="1120" w:type="dxa"/>
            <w:tcBorders>
              <w:top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16/20</w:t>
            </w:r>
          </w:p>
        </w:tc>
        <w:tc>
          <w:tcPr>
            <w:tcW w:w="1217" w:type="dxa"/>
            <w:tcBorders>
              <w:top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17/20</w:t>
            </w:r>
          </w:p>
        </w:tc>
        <w:tc>
          <w:tcPr>
            <w:tcW w:w="1217" w:type="dxa"/>
            <w:tcBorders>
              <w:top w:val="nil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14/20</w:t>
            </w:r>
          </w:p>
        </w:tc>
      </w:tr>
      <w:tr w:rsidR="00EF0A05" w:rsidRPr="00D4352F" w:rsidTr="00700C03">
        <w:trPr>
          <w:trHeight w:val="594"/>
        </w:trPr>
        <w:tc>
          <w:tcPr>
            <w:tcW w:w="1275" w:type="dxa"/>
            <w:tcBorders>
              <w:bottom w:val="single" w:sz="12" w:space="0" w:color="auto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OSCC</w:t>
            </w:r>
          </w:p>
        </w:tc>
        <w:tc>
          <w:tcPr>
            <w:tcW w:w="784" w:type="dxa"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35</w:t>
            </w:r>
          </w:p>
        </w:tc>
        <w:tc>
          <w:tcPr>
            <w:tcW w:w="783" w:type="dxa"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22</w:t>
            </w:r>
          </w:p>
        </w:tc>
        <w:tc>
          <w:tcPr>
            <w:tcW w:w="914" w:type="dxa"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13</w:t>
            </w:r>
          </w:p>
        </w:tc>
        <w:tc>
          <w:tcPr>
            <w:tcW w:w="1314" w:type="dxa"/>
            <w:tcBorders>
              <w:bottom w:val="single" w:sz="12" w:space="0" w:color="auto"/>
            </w:tcBorders>
            <w:vAlign w:val="center"/>
            <w:hideMark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rPr>
                <w:rFonts w:eastAsiaTheme="minorEastAsia"/>
                <w:bCs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63.1(±13.1)</w:t>
            </w:r>
          </w:p>
        </w:tc>
        <w:tc>
          <w:tcPr>
            <w:tcW w:w="1120" w:type="dxa"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31/35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30/35</w:t>
            </w:r>
          </w:p>
        </w:tc>
        <w:tc>
          <w:tcPr>
            <w:tcW w:w="1217" w:type="dxa"/>
            <w:tcBorders>
              <w:bottom w:val="single" w:sz="12" w:space="0" w:color="auto"/>
            </w:tcBorders>
            <w:vAlign w:val="center"/>
          </w:tcPr>
          <w:p w:rsidR="00EF0A05" w:rsidRPr="00270C07" w:rsidRDefault="00EF0A05" w:rsidP="00700C03">
            <w:pPr>
              <w:autoSpaceDE w:val="0"/>
              <w:autoSpaceDN w:val="0"/>
              <w:adjustRightInd w:val="0"/>
              <w:jc w:val="center"/>
              <w:rPr>
                <w:rFonts w:ascii="Tahoma" w:eastAsiaTheme="minorEastAsia" w:hAnsi="Tahoma"/>
                <w:bCs/>
                <w:sz w:val="44"/>
                <w:szCs w:val="21"/>
              </w:rPr>
            </w:pPr>
            <w:r w:rsidRPr="00270C07">
              <w:rPr>
                <w:rFonts w:eastAsiaTheme="minorEastAsia"/>
                <w:szCs w:val="21"/>
              </w:rPr>
              <w:t>35/35</w:t>
            </w:r>
          </w:p>
        </w:tc>
      </w:tr>
    </w:tbl>
    <w:p w:rsidR="0010481A" w:rsidRDefault="0010481A"/>
    <w:sectPr w:rsidR="0010481A" w:rsidSect="001048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105C" w:rsidRDefault="00F5105C" w:rsidP="000F37D8">
      <w:r>
        <w:separator/>
      </w:r>
    </w:p>
  </w:endnote>
  <w:endnote w:type="continuationSeparator" w:id="0">
    <w:p w:rsidR="00F5105C" w:rsidRDefault="00F5105C" w:rsidP="000F37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105C" w:rsidRDefault="00F5105C" w:rsidP="000F37D8">
      <w:r>
        <w:separator/>
      </w:r>
    </w:p>
  </w:footnote>
  <w:footnote w:type="continuationSeparator" w:id="0">
    <w:p w:rsidR="00F5105C" w:rsidRDefault="00F5105C" w:rsidP="000F37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0A05"/>
    <w:rsid w:val="00037268"/>
    <w:rsid w:val="00086E1D"/>
    <w:rsid w:val="000E7F11"/>
    <w:rsid w:val="000F37D8"/>
    <w:rsid w:val="00101176"/>
    <w:rsid w:val="0010481A"/>
    <w:rsid w:val="001105EC"/>
    <w:rsid w:val="00236EEB"/>
    <w:rsid w:val="002457BE"/>
    <w:rsid w:val="002539C1"/>
    <w:rsid w:val="00270C07"/>
    <w:rsid w:val="002710D1"/>
    <w:rsid w:val="002B7CD0"/>
    <w:rsid w:val="002C2305"/>
    <w:rsid w:val="00320B8A"/>
    <w:rsid w:val="00405154"/>
    <w:rsid w:val="00417353"/>
    <w:rsid w:val="00473DC5"/>
    <w:rsid w:val="004A1FC0"/>
    <w:rsid w:val="004E6219"/>
    <w:rsid w:val="00626EB5"/>
    <w:rsid w:val="00680A67"/>
    <w:rsid w:val="00753211"/>
    <w:rsid w:val="00761668"/>
    <w:rsid w:val="00773E87"/>
    <w:rsid w:val="00845D1A"/>
    <w:rsid w:val="00963398"/>
    <w:rsid w:val="009F61FD"/>
    <w:rsid w:val="00A03E47"/>
    <w:rsid w:val="00A061CD"/>
    <w:rsid w:val="00A06756"/>
    <w:rsid w:val="00AD769C"/>
    <w:rsid w:val="00B95F84"/>
    <w:rsid w:val="00BC5A89"/>
    <w:rsid w:val="00CE203C"/>
    <w:rsid w:val="00D07E49"/>
    <w:rsid w:val="00EF0A05"/>
    <w:rsid w:val="00F5105C"/>
    <w:rsid w:val="00F52298"/>
    <w:rsid w:val="00FB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List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A0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3">
    <w:name w:val="Table List 3"/>
    <w:basedOn w:val="a1"/>
    <w:rsid w:val="00EF0A05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link w:val="Char"/>
    <w:uiPriority w:val="99"/>
    <w:unhideWhenUsed/>
    <w:rsid w:val="000F37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F37D8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F37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F37D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12345678</dc:creator>
  <cp:lastModifiedBy>12345678</cp:lastModifiedBy>
  <cp:revision>8</cp:revision>
  <dcterms:created xsi:type="dcterms:W3CDTF">2015-10-20T01:38:00Z</dcterms:created>
  <dcterms:modified xsi:type="dcterms:W3CDTF">2015-12-24T05:32:00Z</dcterms:modified>
</cp:coreProperties>
</file>