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BA" w:rsidRDefault="00AB24BA" w:rsidP="00AB24BA">
      <w:pPr>
        <w:spacing w:line="360" w:lineRule="auto"/>
        <w:ind w:firstLine="708"/>
        <w:jc w:val="both"/>
        <w:rPr>
          <w:sz w:val="24"/>
          <w:szCs w:val="24"/>
        </w:rPr>
      </w:pPr>
      <w:r w:rsidRPr="005B61A3">
        <w:rPr>
          <w:sz w:val="24"/>
          <w:szCs w:val="24"/>
        </w:rPr>
        <w:t xml:space="preserve">We have performed </w:t>
      </w:r>
      <w:r>
        <w:rPr>
          <w:sz w:val="24"/>
          <w:szCs w:val="24"/>
        </w:rPr>
        <w:t xml:space="preserve">these </w:t>
      </w:r>
      <w:r w:rsidRPr="005B61A3">
        <w:rPr>
          <w:sz w:val="24"/>
          <w:szCs w:val="24"/>
        </w:rPr>
        <w:t xml:space="preserve">additional </w:t>
      </w:r>
      <w:r w:rsidRPr="005B61A3">
        <w:rPr>
          <w:i/>
          <w:sz w:val="24"/>
          <w:szCs w:val="24"/>
        </w:rPr>
        <w:t>in vitro</w:t>
      </w:r>
      <w:r w:rsidRPr="005B61A3">
        <w:rPr>
          <w:sz w:val="24"/>
          <w:szCs w:val="24"/>
        </w:rPr>
        <w:t xml:space="preserve"> experiments with isolated mitochondria </w:t>
      </w:r>
      <w:r>
        <w:rPr>
          <w:sz w:val="24"/>
          <w:szCs w:val="24"/>
        </w:rPr>
        <w:t xml:space="preserve">in order to measure the </w:t>
      </w:r>
      <w:r w:rsidRPr="00394B6E">
        <w:rPr>
          <w:sz w:val="24"/>
          <w:szCs w:val="24"/>
        </w:rPr>
        <w:t>maximal leak-dependent respiration</w:t>
      </w:r>
      <w:r>
        <w:rPr>
          <w:sz w:val="24"/>
          <w:szCs w:val="24"/>
        </w:rPr>
        <w:t>.</w:t>
      </w:r>
    </w:p>
    <w:p w:rsidR="00AB24BA" w:rsidRDefault="00AB24BA" w:rsidP="00AB24BA">
      <w:pPr>
        <w:spacing w:line="360" w:lineRule="auto"/>
        <w:ind w:firstLine="708"/>
        <w:jc w:val="both"/>
        <w:rPr>
          <w:sz w:val="24"/>
          <w:szCs w:val="24"/>
        </w:rPr>
      </w:pPr>
    </w:p>
    <w:p w:rsidR="00AB24BA" w:rsidRPr="005B61A3" w:rsidRDefault="00AB24BA" w:rsidP="00AB24BA">
      <w:pPr>
        <w:spacing w:line="360" w:lineRule="auto"/>
        <w:ind w:firstLine="708"/>
        <w:jc w:val="both"/>
        <w:rPr>
          <w:sz w:val="24"/>
          <w:szCs w:val="24"/>
        </w:rPr>
      </w:pPr>
      <w:r w:rsidRPr="005B61A3">
        <w:rPr>
          <w:sz w:val="24"/>
          <w:szCs w:val="24"/>
        </w:rPr>
        <w:t xml:space="preserve"> Briefly, isolated mitochondria were suspended in 3 ml MitOx2 medium and placed into the chambers</w:t>
      </w:r>
      <w:r>
        <w:rPr>
          <w:sz w:val="24"/>
          <w:szCs w:val="24"/>
        </w:rPr>
        <w:t>,</w:t>
      </w:r>
      <w:r w:rsidRPr="005B61A3">
        <w:rPr>
          <w:sz w:val="24"/>
          <w:szCs w:val="24"/>
        </w:rPr>
        <w:t xml:space="preserve"> while the gas phase contained the 2.2% CH</w:t>
      </w:r>
      <w:r w:rsidRPr="007E0D4F">
        <w:rPr>
          <w:sz w:val="24"/>
          <w:szCs w:val="24"/>
          <w:vertAlign w:val="subscript"/>
        </w:rPr>
        <w:t>4</w:t>
      </w:r>
      <w:r w:rsidRPr="005B61A3">
        <w:rPr>
          <w:sz w:val="24"/>
          <w:szCs w:val="24"/>
        </w:rPr>
        <w:t xml:space="preserve">-air mixture or room air (n=6). The complex II-linked state II respiration rate was then determined with 10 </w:t>
      </w:r>
      <w:proofErr w:type="spellStart"/>
      <w:r w:rsidRPr="005B61A3">
        <w:rPr>
          <w:sz w:val="24"/>
          <w:szCs w:val="24"/>
        </w:rPr>
        <w:t>mM</w:t>
      </w:r>
      <w:proofErr w:type="spellEnd"/>
      <w:r w:rsidRPr="005B61A3">
        <w:rPr>
          <w:sz w:val="24"/>
          <w:szCs w:val="24"/>
        </w:rPr>
        <w:t xml:space="preserve"> succinate after the addition of 0.5 </w:t>
      </w:r>
      <w:proofErr w:type="spellStart"/>
      <w:r w:rsidRPr="005B61A3">
        <w:rPr>
          <w:sz w:val="24"/>
          <w:szCs w:val="24"/>
        </w:rPr>
        <w:t>μM</w:t>
      </w:r>
      <w:proofErr w:type="spellEnd"/>
      <w:r w:rsidRPr="005B61A3">
        <w:rPr>
          <w:sz w:val="24"/>
          <w:szCs w:val="24"/>
        </w:rPr>
        <w:t xml:space="preserve"> complex I inhibitor rotenone. For determination of the complex II-linked state III respiration, 2.5 </w:t>
      </w:r>
      <w:proofErr w:type="spellStart"/>
      <w:r w:rsidRPr="005B61A3">
        <w:rPr>
          <w:sz w:val="24"/>
          <w:szCs w:val="24"/>
        </w:rPr>
        <w:t>mM</w:t>
      </w:r>
      <w:proofErr w:type="spellEnd"/>
      <w:r w:rsidRPr="005B61A3">
        <w:rPr>
          <w:sz w:val="24"/>
          <w:szCs w:val="24"/>
        </w:rPr>
        <w:t xml:space="preserve"> ADP was added to the chamber. Finally, 5 </w:t>
      </w:r>
      <w:proofErr w:type="spellStart"/>
      <w:r w:rsidRPr="005B61A3">
        <w:rPr>
          <w:sz w:val="24"/>
          <w:szCs w:val="24"/>
        </w:rPr>
        <w:t>mM</w:t>
      </w:r>
      <w:proofErr w:type="spellEnd"/>
      <w:r w:rsidRPr="005B61A3">
        <w:rPr>
          <w:sz w:val="24"/>
          <w:szCs w:val="24"/>
        </w:rPr>
        <w:t xml:space="preserve"> </w:t>
      </w:r>
      <w:proofErr w:type="spellStart"/>
      <w:r w:rsidRPr="005B61A3">
        <w:rPr>
          <w:sz w:val="24"/>
          <w:szCs w:val="24"/>
        </w:rPr>
        <w:t>oligomycin</w:t>
      </w:r>
      <w:proofErr w:type="spellEnd"/>
      <w:r w:rsidRPr="005B61A3">
        <w:rPr>
          <w:sz w:val="24"/>
          <w:szCs w:val="24"/>
        </w:rPr>
        <w:t xml:space="preserve"> was added to the medium. The respiratory control ratio was calculated by dividing </w:t>
      </w:r>
      <w:r>
        <w:rPr>
          <w:sz w:val="24"/>
          <w:szCs w:val="24"/>
        </w:rPr>
        <w:t>LEAK by the</w:t>
      </w:r>
      <w:r w:rsidRPr="005B61A3">
        <w:rPr>
          <w:sz w:val="24"/>
          <w:szCs w:val="24"/>
        </w:rPr>
        <w:t xml:space="preserve"> state II respiration of </w:t>
      </w:r>
      <w:r>
        <w:rPr>
          <w:sz w:val="24"/>
          <w:szCs w:val="24"/>
        </w:rPr>
        <w:t xml:space="preserve">the </w:t>
      </w:r>
      <w:r w:rsidRPr="005B61A3">
        <w:rPr>
          <w:sz w:val="24"/>
          <w:szCs w:val="24"/>
        </w:rPr>
        <w:t xml:space="preserve">mitochondria. </w:t>
      </w:r>
      <w:r w:rsidRPr="00E51C83">
        <w:rPr>
          <w:sz w:val="24"/>
          <w:szCs w:val="24"/>
        </w:rPr>
        <w:t xml:space="preserve">The results are summarized below. In brief, the leak respiration was </w:t>
      </w:r>
      <w:r w:rsidRPr="00E51C83">
        <w:rPr>
          <w:color w:val="000000"/>
          <w:sz w:val="24"/>
          <w:szCs w:val="24"/>
        </w:rPr>
        <w:t>125 ± 4 and 127 ± 5</w:t>
      </w:r>
      <w:r w:rsidRPr="00E51C83">
        <w:rPr>
          <w:color w:val="FF0000"/>
          <w:sz w:val="24"/>
          <w:szCs w:val="24"/>
        </w:rPr>
        <w:t xml:space="preserve"> </w:t>
      </w:r>
      <w:proofErr w:type="spellStart"/>
      <w:r w:rsidRPr="00E51C83">
        <w:rPr>
          <w:color w:val="000000"/>
          <w:sz w:val="24"/>
          <w:szCs w:val="24"/>
        </w:rPr>
        <w:t>pmol</w:t>
      </w:r>
      <w:proofErr w:type="spellEnd"/>
      <w:r>
        <w:rPr>
          <w:sz w:val="24"/>
          <w:szCs w:val="24"/>
        </w:rPr>
        <w:t>/s</w:t>
      </w:r>
      <w:r w:rsidRPr="00E51C83">
        <w:rPr>
          <w:sz w:val="24"/>
          <w:szCs w:val="24"/>
        </w:rPr>
        <w:t>/ml in</w:t>
      </w:r>
      <w:r w:rsidRPr="005B61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5B61A3">
        <w:rPr>
          <w:sz w:val="24"/>
          <w:szCs w:val="24"/>
        </w:rPr>
        <w:t>room air</w:t>
      </w:r>
      <w:r>
        <w:rPr>
          <w:sz w:val="24"/>
          <w:szCs w:val="24"/>
        </w:rPr>
        <w:t xml:space="preserve"> and</w:t>
      </w:r>
      <w:r w:rsidRPr="005B61A3">
        <w:rPr>
          <w:sz w:val="24"/>
          <w:szCs w:val="24"/>
        </w:rPr>
        <w:t xml:space="preserve"> the 2.2% CH</w:t>
      </w:r>
      <w:r w:rsidRPr="005B61A3">
        <w:rPr>
          <w:sz w:val="24"/>
          <w:szCs w:val="24"/>
          <w:vertAlign w:val="subscript"/>
        </w:rPr>
        <w:t>4</w:t>
      </w:r>
      <w:r w:rsidRPr="005B61A3">
        <w:rPr>
          <w:sz w:val="24"/>
          <w:szCs w:val="24"/>
        </w:rPr>
        <w:t xml:space="preserve">-air mixture groups of isolated mitochondria; hence, these novel data do not </w:t>
      </w:r>
      <w:r>
        <w:rPr>
          <w:sz w:val="24"/>
          <w:szCs w:val="24"/>
        </w:rPr>
        <w:t>indicate any effect of</w:t>
      </w:r>
      <w:r w:rsidRPr="005B61A3">
        <w:rPr>
          <w:sz w:val="24"/>
          <w:szCs w:val="24"/>
        </w:rPr>
        <w:t xml:space="preserve"> CH</w:t>
      </w:r>
      <w:r w:rsidRPr="005B61A3">
        <w:rPr>
          <w:sz w:val="24"/>
          <w:szCs w:val="24"/>
          <w:vertAlign w:val="subscript"/>
        </w:rPr>
        <w:t>4</w:t>
      </w:r>
      <w:r w:rsidRPr="005B61A3">
        <w:rPr>
          <w:sz w:val="24"/>
          <w:szCs w:val="24"/>
        </w:rPr>
        <w:t xml:space="preserve"> on intact mitochondria under </w:t>
      </w:r>
      <w:r w:rsidRPr="005B61A3">
        <w:rPr>
          <w:i/>
          <w:sz w:val="24"/>
          <w:szCs w:val="24"/>
        </w:rPr>
        <w:t>in vitro</w:t>
      </w:r>
      <w:r w:rsidRPr="005B61A3">
        <w:rPr>
          <w:sz w:val="24"/>
          <w:szCs w:val="24"/>
        </w:rPr>
        <w:t xml:space="preserve"> circumstances. (The explanation for this ph</w:t>
      </w:r>
      <w:r>
        <w:rPr>
          <w:sz w:val="24"/>
          <w:szCs w:val="24"/>
        </w:rPr>
        <w:t xml:space="preserve">enomenon is discussed in detail in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2,</w:t>
      </w:r>
      <w:r w:rsidRPr="005B61A3">
        <w:rPr>
          <w:sz w:val="24"/>
          <w:szCs w:val="24"/>
        </w:rPr>
        <w:t xml:space="preserve"> on page </w:t>
      </w:r>
      <w:r>
        <w:rPr>
          <w:sz w:val="24"/>
          <w:szCs w:val="24"/>
        </w:rPr>
        <w:t>15</w:t>
      </w:r>
      <w:r w:rsidRPr="005B61A3">
        <w:rPr>
          <w:sz w:val="24"/>
          <w:szCs w:val="24"/>
        </w:rPr>
        <w:t xml:space="preserve">. Nonetheless, these </w:t>
      </w:r>
      <w:r w:rsidRPr="005B61A3">
        <w:rPr>
          <w:i/>
          <w:sz w:val="24"/>
          <w:szCs w:val="24"/>
        </w:rPr>
        <w:t>in vitro</w:t>
      </w:r>
      <w:r w:rsidRPr="005B61A3">
        <w:rPr>
          <w:sz w:val="24"/>
          <w:szCs w:val="24"/>
        </w:rPr>
        <w:t xml:space="preserve"> data cannot exclude </w:t>
      </w:r>
      <w:r>
        <w:rPr>
          <w:sz w:val="24"/>
          <w:szCs w:val="24"/>
        </w:rPr>
        <w:t>a</w:t>
      </w:r>
      <w:r w:rsidRPr="005B61A3">
        <w:rPr>
          <w:sz w:val="24"/>
          <w:szCs w:val="24"/>
        </w:rPr>
        <w:t xml:space="preserve"> role of the increased leak respiration in </w:t>
      </w:r>
      <w:proofErr w:type="spellStart"/>
      <w:r w:rsidRPr="005B61A3">
        <w:rPr>
          <w:i/>
          <w:sz w:val="24"/>
          <w:szCs w:val="24"/>
        </w:rPr>
        <w:t>in</w:t>
      </w:r>
      <w:proofErr w:type="spellEnd"/>
      <w:r w:rsidRPr="005B61A3">
        <w:rPr>
          <w:i/>
          <w:sz w:val="24"/>
          <w:szCs w:val="24"/>
        </w:rPr>
        <w:t xml:space="preserve"> vivo</w:t>
      </w:r>
      <w:r w:rsidRPr="005B61A3">
        <w:rPr>
          <w:sz w:val="24"/>
          <w:szCs w:val="24"/>
        </w:rPr>
        <w:t xml:space="preserve"> experiments </w:t>
      </w:r>
      <w:r>
        <w:rPr>
          <w:sz w:val="24"/>
          <w:szCs w:val="24"/>
        </w:rPr>
        <w:t>involving a</w:t>
      </w:r>
      <w:r w:rsidRPr="005B61A3">
        <w:rPr>
          <w:sz w:val="24"/>
          <w:szCs w:val="24"/>
        </w:rPr>
        <w:t xml:space="preserve"> lower ROS production. </w:t>
      </w:r>
    </w:p>
    <w:p w:rsidR="00AB24BA" w:rsidRPr="005B61A3" w:rsidRDefault="00AB24BA" w:rsidP="00AB24B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1985"/>
        <w:gridCol w:w="1701"/>
      </w:tblGrid>
      <w:tr w:rsidR="00AB24BA" w:rsidRPr="005B61A3" w:rsidTr="00560EA6">
        <w:trPr>
          <w:jc w:val="center"/>
        </w:trPr>
        <w:tc>
          <w:tcPr>
            <w:tcW w:w="3743" w:type="dxa"/>
            <w:tcBorders>
              <w:top w:val="nil"/>
              <w:left w:val="nil"/>
              <w:bottom w:val="single" w:sz="4" w:space="0" w:color="auto"/>
            </w:tcBorders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24BA" w:rsidRPr="005B61A3" w:rsidRDefault="00AB24BA" w:rsidP="00560E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61A3">
              <w:rPr>
                <w:b/>
                <w:sz w:val="24"/>
                <w:szCs w:val="24"/>
              </w:rPr>
              <w:t>Room air</w:t>
            </w:r>
          </w:p>
        </w:tc>
        <w:tc>
          <w:tcPr>
            <w:tcW w:w="1701" w:type="dxa"/>
          </w:tcPr>
          <w:p w:rsidR="00AB24BA" w:rsidRPr="005B61A3" w:rsidRDefault="00AB24BA" w:rsidP="00560E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61A3">
              <w:rPr>
                <w:b/>
                <w:sz w:val="24"/>
                <w:szCs w:val="24"/>
              </w:rPr>
              <w:t>2.2% CH</w:t>
            </w:r>
            <w:r w:rsidRPr="005B61A3">
              <w:rPr>
                <w:b/>
                <w:sz w:val="24"/>
                <w:szCs w:val="24"/>
                <w:vertAlign w:val="subscript"/>
              </w:rPr>
              <w:t>4</w:t>
            </w:r>
            <w:r w:rsidRPr="005B61A3">
              <w:rPr>
                <w:b/>
                <w:sz w:val="24"/>
                <w:szCs w:val="24"/>
              </w:rPr>
              <w:t>-air</w:t>
            </w:r>
          </w:p>
        </w:tc>
      </w:tr>
      <w:tr w:rsidR="00AB24BA" w:rsidRPr="005B61A3" w:rsidTr="00560EA6">
        <w:trPr>
          <w:jc w:val="center"/>
        </w:trPr>
        <w:tc>
          <w:tcPr>
            <w:tcW w:w="3743" w:type="dxa"/>
            <w:tcBorders>
              <w:left w:val="nil"/>
            </w:tcBorders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>Rotenone / Succinate</w:t>
            </w:r>
          </w:p>
        </w:tc>
        <w:tc>
          <w:tcPr>
            <w:tcW w:w="1985" w:type="dxa"/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>157 ± 6</w:t>
            </w:r>
          </w:p>
        </w:tc>
        <w:tc>
          <w:tcPr>
            <w:tcW w:w="1701" w:type="dxa"/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>155 ± 6</w:t>
            </w:r>
          </w:p>
        </w:tc>
      </w:tr>
      <w:tr w:rsidR="00AB24BA" w:rsidRPr="005B61A3" w:rsidTr="00560EA6">
        <w:trPr>
          <w:jc w:val="center"/>
        </w:trPr>
        <w:tc>
          <w:tcPr>
            <w:tcW w:w="3743" w:type="dxa"/>
            <w:tcBorders>
              <w:left w:val="nil"/>
            </w:tcBorders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B61A3">
              <w:rPr>
                <w:sz w:val="24"/>
                <w:szCs w:val="24"/>
              </w:rPr>
              <w:t>OxPhos</w:t>
            </w:r>
            <w:proofErr w:type="spellEnd"/>
          </w:p>
        </w:tc>
        <w:tc>
          <w:tcPr>
            <w:tcW w:w="1985" w:type="dxa"/>
          </w:tcPr>
          <w:p w:rsidR="00AB24BA" w:rsidRPr="005B61A3" w:rsidRDefault="00BF0E95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 ± 3</w:t>
            </w:r>
            <w:r w:rsidR="00AB24BA" w:rsidRPr="005B61A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B24BA" w:rsidRPr="005B61A3" w:rsidRDefault="00BF0E95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 ± 2</w:t>
            </w:r>
            <w:r w:rsidR="00AB24BA" w:rsidRPr="005B61A3">
              <w:rPr>
                <w:sz w:val="24"/>
                <w:szCs w:val="24"/>
              </w:rPr>
              <w:t>8</w:t>
            </w:r>
          </w:p>
        </w:tc>
      </w:tr>
      <w:tr w:rsidR="00AB24BA" w:rsidRPr="005B61A3" w:rsidTr="00560EA6">
        <w:trPr>
          <w:jc w:val="center"/>
        </w:trPr>
        <w:tc>
          <w:tcPr>
            <w:tcW w:w="3743" w:type="dxa"/>
            <w:tcBorders>
              <w:left w:val="nil"/>
            </w:tcBorders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 xml:space="preserve">LEAK </w:t>
            </w:r>
            <w:proofErr w:type="spellStart"/>
            <w:r w:rsidRPr="005B61A3">
              <w:rPr>
                <w:sz w:val="24"/>
                <w:szCs w:val="24"/>
              </w:rPr>
              <w:t>oligomycin</w:t>
            </w:r>
            <w:proofErr w:type="spellEnd"/>
          </w:p>
        </w:tc>
        <w:tc>
          <w:tcPr>
            <w:tcW w:w="1985" w:type="dxa"/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>125 ± 4</w:t>
            </w:r>
          </w:p>
        </w:tc>
        <w:tc>
          <w:tcPr>
            <w:tcW w:w="1701" w:type="dxa"/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>127 ± 5</w:t>
            </w:r>
          </w:p>
        </w:tc>
      </w:tr>
      <w:tr w:rsidR="00AB24BA" w:rsidRPr="005B61A3" w:rsidTr="00560EA6">
        <w:trPr>
          <w:jc w:val="center"/>
        </w:trPr>
        <w:tc>
          <w:tcPr>
            <w:tcW w:w="3743" w:type="dxa"/>
            <w:tcBorders>
              <w:left w:val="nil"/>
            </w:tcBorders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 xml:space="preserve">Respiratory </w:t>
            </w:r>
            <w:r>
              <w:rPr>
                <w:sz w:val="24"/>
                <w:szCs w:val="24"/>
              </w:rPr>
              <w:t>control r</w:t>
            </w:r>
            <w:r w:rsidRPr="005B61A3">
              <w:rPr>
                <w:sz w:val="24"/>
                <w:szCs w:val="24"/>
              </w:rPr>
              <w:t xml:space="preserve">atio (RCR) </w:t>
            </w:r>
          </w:p>
        </w:tc>
        <w:tc>
          <w:tcPr>
            <w:tcW w:w="1985" w:type="dxa"/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 xml:space="preserve">0.79 </w:t>
            </w:r>
          </w:p>
        </w:tc>
        <w:tc>
          <w:tcPr>
            <w:tcW w:w="1701" w:type="dxa"/>
          </w:tcPr>
          <w:p w:rsidR="00AB24BA" w:rsidRPr="005B61A3" w:rsidRDefault="00AB24BA" w:rsidP="00560E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61A3">
              <w:rPr>
                <w:sz w:val="24"/>
                <w:szCs w:val="24"/>
              </w:rPr>
              <w:t>0.82</w:t>
            </w:r>
          </w:p>
        </w:tc>
      </w:tr>
    </w:tbl>
    <w:p w:rsidR="00AB24BA" w:rsidRPr="005B61A3" w:rsidRDefault="00AB24BA" w:rsidP="00AB24BA">
      <w:pPr>
        <w:spacing w:line="360" w:lineRule="auto"/>
        <w:jc w:val="center"/>
        <w:rPr>
          <w:sz w:val="24"/>
          <w:szCs w:val="24"/>
        </w:rPr>
      </w:pPr>
    </w:p>
    <w:p w:rsidR="00BF0E95" w:rsidRDefault="00BF0E95" w:rsidP="00BF0E95">
      <w:pPr>
        <w:spacing w:line="36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hu-HU"/>
        </w:rPr>
        <w:t xml:space="preserve">S1 </w:t>
      </w:r>
      <w:proofErr w:type="spellStart"/>
      <w:r>
        <w:rPr>
          <w:b/>
          <w:sz w:val="24"/>
          <w:szCs w:val="24"/>
          <w:lang w:val="hu-HU"/>
        </w:rPr>
        <w:t>Table</w:t>
      </w:r>
      <w:proofErr w:type="spellEnd"/>
      <w:r>
        <w:rPr>
          <w:b/>
          <w:sz w:val="24"/>
          <w:szCs w:val="24"/>
          <w:lang w:val="hu-HU"/>
        </w:rPr>
        <w:t xml:space="preserve">. </w:t>
      </w:r>
      <w:proofErr w:type="spellStart"/>
      <w:r>
        <w:rPr>
          <w:sz w:val="24"/>
          <w:szCs w:val="24"/>
          <w:lang w:val="hu-HU"/>
        </w:rPr>
        <w:t>Effects</w:t>
      </w:r>
      <w:proofErr w:type="spellEnd"/>
      <w:r>
        <w:rPr>
          <w:sz w:val="24"/>
          <w:szCs w:val="24"/>
          <w:lang w:val="hu-HU"/>
        </w:rPr>
        <w:t xml:space="preserve"> of CH</w:t>
      </w:r>
      <w:r>
        <w:rPr>
          <w:sz w:val="24"/>
          <w:szCs w:val="24"/>
          <w:vertAlign w:val="subscript"/>
          <w:lang w:val="hu-HU"/>
        </w:rPr>
        <w:t>4</w:t>
      </w:r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incubation</w:t>
      </w:r>
      <w:proofErr w:type="spellEnd"/>
      <w:r>
        <w:rPr>
          <w:sz w:val="24"/>
          <w:szCs w:val="24"/>
          <w:vertAlign w:val="subscript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on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en-GB"/>
        </w:rPr>
        <w:t>LEAK respiration</w:t>
      </w:r>
      <w:r>
        <w:rPr>
          <w:sz w:val="24"/>
          <w:szCs w:val="24"/>
          <w:lang w:val="hu-HU"/>
        </w:rPr>
        <w:t xml:space="preserve"> (</w:t>
      </w:r>
      <w:proofErr w:type="spellStart"/>
      <w:r>
        <w:rPr>
          <w:sz w:val="24"/>
          <w:szCs w:val="24"/>
          <w:lang w:val="hu-HU"/>
        </w:rPr>
        <w:t>pmol</w:t>
      </w:r>
      <w:proofErr w:type="spellEnd"/>
      <w:r>
        <w:rPr>
          <w:sz w:val="24"/>
          <w:szCs w:val="24"/>
          <w:lang w:val="hu-HU"/>
        </w:rPr>
        <w:t xml:space="preserve">/s/ml) </w:t>
      </w:r>
      <w:proofErr w:type="spellStart"/>
      <w:r>
        <w:rPr>
          <w:sz w:val="24"/>
          <w:szCs w:val="24"/>
          <w:lang w:val="hu-HU"/>
        </w:rPr>
        <w:t>in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isolated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intact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liver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mitochondria</w:t>
      </w:r>
      <w:proofErr w:type="spellEnd"/>
      <w:r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en-GB"/>
        </w:rPr>
        <w:t>Data are presented as means ± SEM.</w:t>
      </w:r>
    </w:p>
    <w:p w:rsidR="005E0589" w:rsidRDefault="005E0589"/>
    <w:sectPr w:rsidR="005E0589" w:rsidSect="005E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24BA"/>
    <w:rsid w:val="00040504"/>
    <w:rsid w:val="002E6A64"/>
    <w:rsid w:val="004F5B54"/>
    <w:rsid w:val="005E0589"/>
    <w:rsid w:val="00AB24BA"/>
    <w:rsid w:val="00BF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4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2015-10-05T11:26:00Z</dcterms:created>
  <dcterms:modified xsi:type="dcterms:W3CDTF">2015-10-05T11:38:00Z</dcterms:modified>
</cp:coreProperties>
</file>