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92" w:rsidRDefault="00FB6E92" w:rsidP="00FB6E92">
      <w:pPr>
        <w:jc w:val="center"/>
        <w:rPr>
          <w:b/>
        </w:rPr>
      </w:pPr>
      <w:r>
        <w:rPr>
          <w:b/>
        </w:rPr>
        <w:t>Supplementary Information</w:t>
      </w:r>
      <w:bookmarkStart w:id="0" w:name="_GoBack"/>
      <w:bookmarkEnd w:id="0"/>
    </w:p>
    <w:p w:rsidR="00FB6E92" w:rsidRDefault="00FB6E92" w:rsidP="00FB6E92">
      <w:pPr>
        <w:rPr>
          <w:b/>
        </w:rPr>
      </w:pPr>
    </w:p>
    <w:p w:rsidR="00FB6E92" w:rsidRPr="00FB6E92" w:rsidRDefault="00FB6E92" w:rsidP="00FB6E92">
      <w:pPr>
        <w:rPr>
          <w:b/>
        </w:rPr>
      </w:pPr>
      <w:r w:rsidRPr="00FB6E92">
        <w:rPr>
          <w:b/>
        </w:rPr>
        <w:t>Table S3. Association (odds ratios and 95% confidence interval) between meat intake and colorectal cancer, with adjustment for additional risk factors</w:t>
      </w:r>
    </w:p>
    <w:tbl>
      <w:tblPr>
        <w:tblW w:w="12255" w:type="dxa"/>
        <w:tblInd w:w="93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721"/>
        <w:gridCol w:w="1419"/>
        <w:gridCol w:w="1166"/>
        <w:gridCol w:w="1710"/>
        <w:gridCol w:w="1710"/>
        <w:gridCol w:w="1710"/>
        <w:gridCol w:w="830"/>
        <w:gridCol w:w="724"/>
      </w:tblGrid>
      <w:tr w:rsidR="00FB6E92" w:rsidRPr="00FB6E92" w:rsidTr="00300775">
        <w:trPr>
          <w:trHeight w:val="288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F2DBDB"/>
            <w:noWrap/>
            <w:vAlign w:val="bottom"/>
          </w:tcPr>
          <w:p w:rsidR="00FB6E92" w:rsidRPr="00FB6E92" w:rsidRDefault="00FB6E92" w:rsidP="00FB6E92"/>
        </w:tc>
        <w:tc>
          <w:tcPr>
            <w:tcW w:w="721" w:type="dxa"/>
            <w:tcBorders>
              <w:top w:val="single" w:sz="4" w:space="0" w:color="auto"/>
            </w:tcBorders>
            <w:shd w:val="clear" w:color="auto" w:fill="F2DBDB"/>
            <w:noWrap/>
            <w:vAlign w:val="bottom"/>
          </w:tcPr>
          <w:p w:rsidR="00FB6E92" w:rsidRPr="00FB6E92" w:rsidRDefault="00FB6E92" w:rsidP="00FB6E92">
            <w:r w:rsidRPr="00FB6E92">
              <w:t>Cases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2DBDB"/>
            <w:noWrap/>
            <w:vAlign w:val="bottom"/>
          </w:tcPr>
          <w:p w:rsidR="00FB6E92" w:rsidRPr="00FB6E92" w:rsidRDefault="00FB6E92" w:rsidP="00FB6E92">
            <w:r w:rsidRPr="00FB6E92">
              <w:t>Controls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2DBDB"/>
            <w:noWrap/>
            <w:vAlign w:val="bottom"/>
          </w:tcPr>
          <w:p w:rsidR="00FB6E92" w:rsidRPr="00FB6E92" w:rsidRDefault="00FB6E92" w:rsidP="00FB6E92">
            <w:r w:rsidRPr="00FB6E92">
              <w:t>Quartile 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DBDB"/>
            <w:noWrap/>
            <w:vAlign w:val="bottom"/>
          </w:tcPr>
          <w:p w:rsidR="00FB6E92" w:rsidRPr="00FB6E92" w:rsidRDefault="00FB6E92" w:rsidP="00FB6E92">
            <w:r w:rsidRPr="00FB6E92">
              <w:t>Quartile 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DBDB"/>
            <w:noWrap/>
            <w:vAlign w:val="bottom"/>
          </w:tcPr>
          <w:p w:rsidR="00FB6E92" w:rsidRPr="00FB6E92" w:rsidRDefault="00FB6E92" w:rsidP="00FB6E92">
            <w:r w:rsidRPr="00FB6E92">
              <w:t>Quartile 3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DBDB"/>
            <w:noWrap/>
            <w:vAlign w:val="bottom"/>
          </w:tcPr>
          <w:p w:rsidR="00FB6E92" w:rsidRPr="00FB6E92" w:rsidRDefault="00FB6E92" w:rsidP="00FB6E92">
            <w:r w:rsidRPr="00FB6E92">
              <w:t>Quartile 4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2DBDB"/>
            <w:noWrap/>
            <w:vAlign w:val="bottom"/>
          </w:tcPr>
          <w:p w:rsidR="00FB6E92" w:rsidRPr="00FB6E92" w:rsidRDefault="00FB6E92" w:rsidP="00FB6E92">
            <w:proofErr w:type="spellStart"/>
            <w:r w:rsidRPr="00FB6E92">
              <w:t>P</w:t>
            </w:r>
            <w:r w:rsidRPr="00FB6E92">
              <w:rPr>
                <w:vertAlign w:val="subscript"/>
              </w:rPr>
              <w:t>trend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2DBDB"/>
            <w:vAlign w:val="bottom"/>
          </w:tcPr>
          <w:p w:rsidR="00FB6E92" w:rsidRPr="00FB6E92" w:rsidRDefault="00FB6E92" w:rsidP="00FB6E92">
            <w:r w:rsidRPr="00FB6E92">
              <w:t>I</w:t>
            </w:r>
            <w:r w:rsidRPr="00FB6E92">
              <w:rPr>
                <w:vertAlign w:val="superscript"/>
              </w:rPr>
              <w:t xml:space="preserve">2 </w:t>
            </w:r>
            <w:r w:rsidRPr="00FB6E92">
              <w:t>(%)</w:t>
            </w:r>
          </w:p>
        </w:tc>
      </w:tr>
      <w:tr w:rsidR="00FB6E92" w:rsidRPr="00FB6E92" w:rsidTr="00300775">
        <w:trPr>
          <w:trHeight w:val="288"/>
        </w:trPr>
        <w:tc>
          <w:tcPr>
            <w:tcW w:w="4405" w:type="dxa"/>
            <w:gridSpan w:val="3"/>
            <w:noWrap/>
            <w:vAlign w:val="bottom"/>
          </w:tcPr>
          <w:p w:rsidR="00FB6E92" w:rsidRPr="00FB6E92" w:rsidRDefault="00FB6E92" w:rsidP="00FB6E92">
            <w:pPr>
              <w:rPr>
                <w:b/>
              </w:rPr>
            </w:pPr>
            <w:r w:rsidRPr="00FB6E92">
              <w:rPr>
                <w:b/>
              </w:rPr>
              <w:t>Processed meat</w:t>
            </w:r>
          </w:p>
        </w:tc>
        <w:tc>
          <w:tcPr>
            <w:tcW w:w="1166" w:type="dxa"/>
            <w:noWrap/>
            <w:vAlign w:val="bottom"/>
          </w:tcPr>
          <w:p w:rsidR="00FB6E92" w:rsidRPr="00FB6E92" w:rsidRDefault="00FB6E92" w:rsidP="00FB6E92"/>
        </w:tc>
        <w:tc>
          <w:tcPr>
            <w:tcW w:w="1710" w:type="dxa"/>
            <w:noWrap/>
            <w:vAlign w:val="bottom"/>
          </w:tcPr>
          <w:p w:rsidR="00FB6E92" w:rsidRPr="00FB6E92" w:rsidRDefault="00FB6E92" w:rsidP="00FB6E92"/>
        </w:tc>
        <w:tc>
          <w:tcPr>
            <w:tcW w:w="1710" w:type="dxa"/>
            <w:noWrap/>
            <w:vAlign w:val="bottom"/>
          </w:tcPr>
          <w:p w:rsidR="00FB6E92" w:rsidRPr="00FB6E92" w:rsidRDefault="00FB6E92" w:rsidP="00FB6E92"/>
        </w:tc>
        <w:tc>
          <w:tcPr>
            <w:tcW w:w="1710" w:type="dxa"/>
            <w:noWrap/>
            <w:vAlign w:val="bottom"/>
          </w:tcPr>
          <w:p w:rsidR="00FB6E92" w:rsidRPr="00FB6E92" w:rsidRDefault="00FB6E92" w:rsidP="00FB6E92"/>
        </w:tc>
        <w:tc>
          <w:tcPr>
            <w:tcW w:w="830" w:type="dxa"/>
            <w:noWrap/>
            <w:vAlign w:val="bottom"/>
          </w:tcPr>
          <w:p w:rsidR="00FB6E92" w:rsidRPr="00FB6E92" w:rsidRDefault="00FB6E92" w:rsidP="00FB6E92"/>
        </w:tc>
        <w:tc>
          <w:tcPr>
            <w:tcW w:w="724" w:type="dxa"/>
            <w:vAlign w:val="bottom"/>
          </w:tcPr>
          <w:p w:rsidR="00FB6E92" w:rsidRPr="00FB6E92" w:rsidRDefault="00FB6E92" w:rsidP="00FB6E92"/>
        </w:tc>
      </w:tr>
      <w:tr w:rsidR="00FB6E92" w:rsidRPr="00FB6E92" w:rsidTr="00300775">
        <w:trPr>
          <w:trHeight w:val="288"/>
        </w:trPr>
        <w:tc>
          <w:tcPr>
            <w:tcW w:w="2265" w:type="dxa"/>
            <w:noWrap/>
            <w:vAlign w:val="bottom"/>
          </w:tcPr>
          <w:p w:rsidR="00FB6E92" w:rsidRPr="00FB6E92" w:rsidRDefault="00FB6E92" w:rsidP="00FB6E92">
            <w:pPr>
              <w:rPr>
                <w:b/>
              </w:rPr>
            </w:pPr>
            <w:r w:rsidRPr="00FB6E92">
              <w:rPr>
                <w:b/>
              </w:rPr>
              <w:t>Japanese</w:t>
            </w:r>
          </w:p>
        </w:tc>
        <w:tc>
          <w:tcPr>
            <w:tcW w:w="721" w:type="dxa"/>
            <w:noWrap/>
            <w:vAlign w:val="bottom"/>
          </w:tcPr>
          <w:p w:rsidR="00FB6E92" w:rsidRPr="00FB6E92" w:rsidRDefault="00FB6E92" w:rsidP="00FB6E92">
            <w:r w:rsidRPr="00FB6E92">
              <w:t>2161</w:t>
            </w:r>
          </w:p>
        </w:tc>
        <w:tc>
          <w:tcPr>
            <w:tcW w:w="1419" w:type="dxa"/>
            <w:noWrap/>
            <w:vAlign w:val="bottom"/>
          </w:tcPr>
          <w:p w:rsidR="00FB6E92" w:rsidRPr="00FB6E92" w:rsidRDefault="00FB6E92" w:rsidP="00FB6E92">
            <w:r w:rsidRPr="00FB6E92">
              <w:t>3676</w:t>
            </w:r>
          </w:p>
        </w:tc>
        <w:tc>
          <w:tcPr>
            <w:tcW w:w="1166" w:type="dxa"/>
            <w:noWrap/>
            <w:vAlign w:val="bottom"/>
          </w:tcPr>
          <w:p w:rsidR="00FB6E92" w:rsidRPr="00FB6E92" w:rsidRDefault="00FB6E92" w:rsidP="00FB6E92">
            <w:r w:rsidRPr="00FB6E92">
              <w:t>1.0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1.02 (0.87, 1.20)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1.12 (0.96, 1.31)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1.44 (1.21, 1.7)</w:t>
            </w:r>
          </w:p>
        </w:tc>
        <w:tc>
          <w:tcPr>
            <w:tcW w:w="830" w:type="dxa"/>
            <w:noWrap/>
            <w:vAlign w:val="bottom"/>
          </w:tcPr>
          <w:p w:rsidR="00FB6E92" w:rsidRPr="00FB6E92" w:rsidRDefault="00FB6E92" w:rsidP="00FB6E92">
            <w:r w:rsidRPr="00FB6E92">
              <w:t>4.8e-5</w:t>
            </w:r>
          </w:p>
        </w:tc>
        <w:tc>
          <w:tcPr>
            <w:tcW w:w="724" w:type="dxa"/>
            <w:vAlign w:val="bottom"/>
          </w:tcPr>
          <w:p w:rsidR="00FB6E92" w:rsidRPr="00FB6E92" w:rsidRDefault="00FB6E92" w:rsidP="00FB6E92"/>
        </w:tc>
      </w:tr>
      <w:tr w:rsidR="00FB6E92" w:rsidRPr="00FB6E92" w:rsidTr="00300775">
        <w:trPr>
          <w:trHeight w:val="288"/>
        </w:trPr>
        <w:tc>
          <w:tcPr>
            <w:tcW w:w="2265" w:type="dxa"/>
            <w:noWrap/>
            <w:vAlign w:val="bottom"/>
          </w:tcPr>
          <w:p w:rsidR="00FB6E92" w:rsidRPr="00FB6E92" w:rsidRDefault="00FB6E92" w:rsidP="00FB6E92">
            <w:pPr>
              <w:rPr>
                <w:b/>
              </w:rPr>
            </w:pPr>
            <w:r w:rsidRPr="00FB6E92">
              <w:rPr>
                <w:b/>
              </w:rPr>
              <w:t>African American</w:t>
            </w:r>
          </w:p>
        </w:tc>
        <w:tc>
          <w:tcPr>
            <w:tcW w:w="721" w:type="dxa"/>
            <w:noWrap/>
            <w:vAlign w:val="bottom"/>
          </w:tcPr>
          <w:p w:rsidR="00FB6E92" w:rsidRPr="00FB6E92" w:rsidRDefault="00FB6E92" w:rsidP="00FB6E92">
            <w:r w:rsidRPr="00FB6E92">
              <w:t>369</w:t>
            </w:r>
          </w:p>
        </w:tc>
        <w:tc>
          <w:tcPr>
            <w:tcW w:w="1419" w:type="dxa"/>
            <w:noWrap/>
            <w:vAlign w:val="bottom"/>
          </w:tcPr>
          <w:p w:rsidR="00FB6E92" w:rsidRPr="00FB6E92" w:rsidRDefault="00FB6E92" w:rsidP="00FB6E92">
            <w:r w:rsidRPr="00FB6E92">
              <w:t>3998</w:t>
            </w:r>
          </w:p>
        </w:tc>
        <w:tc>
          <w:tcPr>
            <w:tcW w:w="1166" w:type="dxa"/>
            <w:noWrap/>
            <w:vAlign w:val="bottom"/>
          </w:tcPr>
          <w:p w:rsidR="00FB6E92" w:rsidRPr="00FB6E92" w:rsidRDefault="00FB6E92" w:rsidP="00FB6E92">
            <w:r w:rsidRPr="00FB6E92">
              <w:t>1.0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1.16 (0.84, 1.59)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1.09 (0.79, 1.49)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1.20 (0.85, 1.69)</w:t>
            </w:r>
          </w:p>
        </w:tc>
        <w:tc>
          <w:tcPr>
            <w:tcW w:w="830" w:type="dxa"/>
            <w:noWrap/>
            <w:vAlign w:val="bottom"/>
          </w:tcPr>
          <w:p w:rsidR="00FB6E92" w:rsidRPr="00FB6E92" w:rsidRDefault="00FB6E92" w:rsidP="00FB6E92">
            <w:r w:rsidRPr="00FB6E92">
              <w:t>0.39</w:t>
            </w:r>
          </w:p>
        </w:tc>
        <w:tc>
          <w:tcPr>
            <w:tcW w:w="724" w:type="dxa"/>
            <w:vAlign w:val="bottom"/>
          </w:tcPr>
          <w:p w:rsidR="00FB6E92" w:rsidRPr="00FB6E92" w:rsidRDefault="00FB6E92" w:rsidP="00FB6E92"/>
        </w:tc>
      </w:tr>
      <w:tr w:rsidR="00FB6E92" w:rsidRPr="00FB6E92" w:rsidTr="00300775">
        <w:trPr>
          <w:trHeight w:val="288"/>
        </w:trPr>
        <w:tc>
          <w:tcPr>
            <w:tcW w:w="2265" w:type="dxa"/>
            <w:noWrap/>
            <w:vAlign w:val="bottom"/>
          </w:tcPr>
          <w:p w:rsidR="00FB6E92" w:rsidRPr="00FB6E92" w:rsidRDefault="00FB6E92" w:rsidP="00FB6E92">
            <w:pPr>
              <w:rPr>
                <w:b/>
              </w:rPr>
            </w:pPr>
            <w:r w:rsidRPr="00FB6E92">
              <w:rPr>
                <w:b/>
              </w:rPr>
              <w:t>Combined</w:t>
            </w:r>
          </w:p>
        </w:tc>
        <w:tc>
          <w:tcPr>
            <w:tcW w:w="721" w:type="dxa"/>
            <w:noWrap/>
            <w:vAlign w:val="bottom"/>
          </w:tcPr>
          <w:p w:rsidR="00FB6E92" w:rsidRPr="00FB6E92" w:rsidRDefault="00FB6E92" w:rsidP="00FB6E92">
            <w:r w:rsidRPr="00FB6E92">
              <w:t>2530</w:t>
            </w:r>
          </w:p>
        </w:tc>
        <w:tc>
          <w:tcPr>
            <w:tcW w:w="1419" w:type="dxa"/>
            <w:noWrap/>
            <w:vAlign w:val="bottom"/>
          </w:tcPr>
          <w:p w:rsidR="00FB6E92" w:rsidRPr="00FB6E92" w:rsidRDefault="00FB6E92" w:rsidP="00FB6E92">
            <w:r w:rsidRPr="00FB6E92">
              <w:t>7674</w:t>
            </w:r>
          </w:p>
        </w:tc>
        <w:tc>
          <w:tcPr>
            <w:tcW w:w="1166" w:type="dxa"/>
            <w:noWrap/>
            <w:vAlign w:val="bottom"/>
          </w:tcPr>
          <w:p w:rsidR="00FB6E92" w:rsidRPr="00FB6E92" w:rsidRDefault="00FB6E92" w:rsidP="00FB6E92">
            <w:r w:rsidRPr="00FB6E92">
              <w:t>1.0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1.05 (0.91, 1.21)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1.11 (0.97, 1.28)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1.39 (1.19, 1.61)</w:t>
            </w:r>
          </w:p>
        </w:tc>
        <w:tc>
          <w:tcPr>
            <w:tcW w:w="830" w:type="dxa"/>
            <w:noWrap/>
            <w:vAlign w:val="bottom"/>
          </w:tcPr>
          <w:p w:rsidR="00FB6E92" w:rsidRPr="00FB6E92" w:rsidRDefault="00FB6E92" w:rsidP="00FB6E92">
            <w:r w:rsidRPr="00FB6E92">
              <w:t>5.7e-5</w:t>
            </w:r>
          </w:p>
        </w:tc>
        <w:tc>
          <w:tcPr>
            <w:tcW w:w="724" w:type="dxa"/>
            <w:vAlign w:val="bottom"/>
          </w:tcPr>
          <w:p w:rsidR="00FB6E92" w:rsidRPr="00FB6E92" w:rsidRDefault="00FB6E92" w:rsidP="00FB6E92">
            <w:r w:rsidRPr="00FB6E92">
              <w:t>8</w:t>
            </w:r>
          </w:p>
        </w:tc>
      </w:tr>
      <w:tr w:rsidR="00FB6E92" w:rsidRPr="00FB6E92" w:rsidTr="00300775">
        <w:trPr>
          <w:trHeight w:val="288"/>
        </w:trPr>
        <w:tc>
          <w:tcPr>
            <w:tcW w:w="2265" w:type="dxa"/>
            <w:noWrap/>
            <w:vAlign w:val="bottom"/>
          </w:tcPr>
          <w:p w:rsidR="00FB6E92" w:rsidRPr="00FB6E92" w:rsidRDefault="00FB6E92" w:rsidP="00FB6E92">
            <w:pPr>
              <w:rPr>
                <w:b/>
              </w:rPr>
            </w:pPr>
          </w:p>
        </w:tc>
        <w:tc>
          <w:tcPr>
            <w:tcW w:w="721" w:type="dxa"/>
            <w:noWrap/>
            <w:vAlign w:val="bottom"/>
          </w:tcPr>
          <w:p w:rsidR="00FB6E92" w:rsidRPr="00FB6E92" w:rsidRDefault="00FB6E92" w:rsidP="00FB6E92"/>
        </w:tc>
        <w:tc>
          <w:tcPr>
            <w:tcW w:w="1419" w:type="dxa"/>
            <w:noWrap/>
            <w:vAlign w:val="bottom"/>
          </w:tcPr>
          <w:p w:rsidR="00FB6E92" w:rsidRPr="00FB6E92" w:rsidRDefault="00FB6E92" w:rsidP="00FB6E92"/>
        </w:tc>
        <w:tc>
          <w:tcPr>
            <w:tcW w:w="1166" w:type="dxa"/>
            <w:noWrap/>
            <w:vAlign w:val="bottom"/>
          </w:tcPr>
          <w:p w:rsidR="00FB6E92" w:rsidRPr="00FB6E92" w:rsidRDefault="00FB6E92" w:rsidP="00FB6E92"/>
        </w:tc>
        <w:tc>
          <w:tcPr>
            <w:tcW w:w="1710" w:type="dxa"/>
            <w:noWrap/>
            <w:vAlign w:val="bottom"/>
          </w:tcPr>
          <w:p w:rsidR="00FB6E92" w:rsidRPr="00FB6E92" w:rsidRDefault="00FB6E92" w:rsidP="00FB6E92"/>
        </w:tc>
        <w:tc>
          <w:tcPr>
            <w:tcW w:w="1710" w:type="dxa"/>
            <w:noWrap/>
            <w:vAlign w:val="bottom"/>
          </w:tcPr>
          <w:p w:rsidR="00FB6E92" w:rsidRPr="00FB6E92" w:rsidRDefault="00FB6E92" w:rsidP="00FB6E92"/>
        </w:tc>
        <w:tc>
          <w:tcPr>
            <w:tcW w:w="1710" w:type="dxa"/>
            <w:noWrap/>
            <w:vAlign w:val="bottom"/>
          </w:tcPr>
          <w:p w:rsidR="00FB6E92" w:rsidRPr="00FB6E92" w:rsidRDefault="00FB6E92" w:rsidP="00FB6E92"/>
        </w:tc>
        <w:tc>
          <w:tcPr>
            <w:tcW w:w="830" w:type="dxa"/>
            <w:noWrap/>
            <w:vAlign w:val="bottom"/>
          </w:tcPr>
          <w:p w:rsidR="00FB6E92" w:rsidRPr="00FB6E92" w:rsidRDefault="00FB6E92" w:rsidP="00FB6E92"/>
        </w:tc>
        <w:tc>
          <w:tcPr>
            <w:tcW w:w="724" w:type="dxa"/>
            <w:vAlign w:val="bottom"/>
          </w:tcPr>
          <w:p w:rsidR="00FB6E92" w:rsidRPr="00FB6E92" w:rsidRDefault="00FB6E92" w:rsidP="00FB6E92"/>
        </w:tc>
      </w:tr>
      <w:tr w:rsidR="00FB6E92" w:rsidRPr="00FB6E92" w:rsidTr="00300775">
        <w:trPr>
          <w:trHeight w:val="288"/>
        </w:trPr>
        <w:tc>
          <w:tcPr>
            <w:tcW w:w="4405" w:type="dxa"/>
            <w:gridSpan w:val="3"/>
            <w:noWrap/>
            <w:vAlign w:val="bottom"/>
          </w:tcPr>
          <w:p w:rsidR="00FB6E92" w:rsidRPr="00FB6E92" w:rsidRDefault="00FB6E92" w:rsidP="00FB6E92">
            <w:pPr>
              <w:rPr>
                <w:b/>
              </w:rPr>
            </w:pPr>
            <w:r w:rsidRPr="00FB6E92">
              <w:rPr>
                <w:b/>
              </w:rPr>
              <w:t>Red meat without processed meat</w:t>
            </w:r>
          </w:p>
        </w:tc>
        <w:tc>
          <w:tcPr>
            <w:tcW w:w="1166" w:type="dxa"/>
            <w:noWrap/>
            <w:vAlign w:val="bottom"/>
          </w:tcPr>
          <w:p w:rsidR="00FB6E92" w:rsidRPr="00FB6E92" w:rsidRDefault="00FB6E92" w:rsidP="00FB6E92"/>
        </w:tc>
        <w:tc>
          <w:tcPr>
            <w:tcW w:w="1710" w:type="dxa"/>
            <w:noWrap/>
            <w:vAlign w:val="bottom"/>
          </w:tcPr>
          <w:p w:rsidR="00FB6E92" w:rsidRPr="00FB6E92" w:rsidRDefault="00FB6E92" w:rsidP="00FB6E92"/>
        </w:tc>
        <w:tc>
          <w:tcPr>
            <w:tcW w:w="1710" w:type="dxa"/>
            <w:noWrap/>
            <w:vAlign w:val="bottom"/>
          </w:tcPr>
          <w:p w:rsidR="00FB6E92" w:rsidRPr="00FB6E92" w:rsidRDefault="00FB6E92" w:rsidP="00FB6E92"/>
        </w:tc>
        <w:tc>
          <w:tcPr>
            <w:tcW w:w="1710" w:type="dxa"/>
            <w:noWrap/>
            <w:vAlign w:val="bottom"/>
          </w:tcPr>
          <w:p w:rsidR="00FB6E92" w:rsidRPr="00FB6E92" w:rsidRDefault="00FB6E92" w:rsidP="00FB6E92"/>
        </w:tc>
        <w:tc>
          <w:tcPr>
            <w:tcW w:w="830" w:type="dxa"/>
            <w:noWrap/>
            <w:vAlign w:val="bottom"/>
          </w:tcPr>
          <w:p w:rsidR="00FB6E92" w:rsidRPr="00FB6E92" w:rsidRDefault="00FB6E92" w:rsidP="00FB6E92"/>
        </w:tc>
        <w:tc>
          <w:tcPr>
            <w:tcW w:w="724" w:type="dxa"/>
            <w:vAlign w:val="bottom"/>
          </w:tcPr>
          <w:p w:rsidR="00FB6E92" w:rsidRPr="00FB6E92" w:rsidRDefault="00FB6E92" w:rsidP="00FB6E92"/>
        </w:tc>
      </w:tr>
      <w:tr w:rsidR="00FB6E92" w:rsidRPr="00FB6E92" w:rsidTr="00300775">
        <w:trPr>
          <w:trHeight w:val="288"/>
        </w:trPr>
        <w:tc>
          <w:tcPr>
            <w:tcW w:w="2265" w:type="dxa"/>
            <w:noWrap/>
            <w:vAlign w:val="bottom"/>
          </w:tcPr>
          <w:p w:rsidR="00FB6E92" w:rsidRPr="00FB6E92" w:rsidRDefault="00FB6E92" w:rsidP="00FB6E92">
            <w:pPr>
              <w:rPr>
                <w:b/>
              </w:rPr>
            </w:pPr>
            <w:r w:rsidRPr="00FB6E92">
              <w:rPr>
                <w:b/>
              </w:rPr>
              <w:t>Japanese</w:t>
            </w:r>
          </w:p>
        </w:tc>
        <w:tc>
          <w:tcPr>
            <w:tcW w:w="721" w:type="dxa"/>
            <w:noWrap/>
            <w:vAlign w:val="bottom"/>
          </w:tcPr>
          <w:p w:rsidR="00FB6E92" w:rsidRPr="00FB6E92" w:rsidRDefault="00FB6E92" w:rsidP="00FB6E92">
            <w:r w:rsidRPr="00FB6E92">
              <w:t>2161</w:t>
            </w:r>
          </w:p>
        </w:tc>
        <w:tc>
          <w:tcPr>
            <w:tcW w:w="1419" w:type="dxa"/>
            <w:noWrap/>
            <w:vAlign w:val="bottom"/>
          </w:tcPr>
          <w:p w:rsidR="00FB6E92" w:rsidRPr="00FB6E92" w:rsidRDefault="00FB6E92" w:rsidP="00FB6E92">
            <w:r w:rsidRPr="00FB6E92">
              <w:t>3676</w:t>
            </w:r>
          </w:p>
        </w:tc>
        <w:tc>
          <w:tcPr>
            <w:tcW w:w="1166" w:type="dxa"/>
            <w:noWrap/>
            <w:vAlign w:val="bottom"/>
          </w:tcPr>
          <w:p w:rsidR="00FB6E92" w:rsidRPr="00FB6E92" w:rsidRDefault="00FB6E92" w:rsidP="00FB6E92">
            <w:r w:rsidRPr="00FB6E92">
              <w:t>1.0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1.14 (0.97, 1.34)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1.18 (1, 1.39)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1.34 (1.13, 1.58)</w:t>
            </w:r>
          </w:p>
        </w:tc>
        <w:tc>
          <w:tcPr>
            <w:tcW w:w="830" w:type="dxa"/>
            <w:noWrap/>
            <w:vAlign w:val="bottom"/>
          </w:tcPr>
          <w:p w:rsidR="00FB6E92" w:rsidRPr="00FB6E92" w:rsidRDefault="00FB6E92" w:rsidP="00FB6E92">
            <w:r w:rsidRPr="00FB6E92">
              <w:t>0.0009</w:t>
            </w:r>
          </w:p>
        </w:tc>
        <w:tc>
          <w:tcPr>
            <w:tcW w:w="724" w:type="dxa"/>
            <w:vAlign w:val="bottom"/>
          </w:tcPr>
          <w:p w:rsidR="00FB6E92" w:rsidRPr="00FB6E92" w:rsidRDefault="00FB6E92" w:rsidP="00FB6E92"/>
        </w:tc>
      </w:tr>
      <w:tr w:rsidR="00FB6E92" w:rsidRPr="00FB6E92" w:rsidTr="00300775">
        <w:trPr>
          <w:trHeight w:val="288"/>
        </w:trPr>
        <w:tc>
          <w:tcPr>
            <w:tcW w:w="2265" w:type="dxa"/>
            <w:noWrap/>
            <w:vAlign w:val="bottom"/>
          </w:tcPr>
          <w:p w:rsidR="00FB6E92" w:rsidRPr="00FB6E92" w:rsidRDefault="00FB6E92" w:rsidP="00FB6E92">
            <w:pPr>
              <w:rPr>
                <w:b/>
              </w:rPr>
            </w:pPr>
            <w:r w:rsidRPr="00FB6E92">
              <w:rPr>
                <w:b/>
              </w:rPr>
              <w:t>African American</w:t>
            </w:r>
          </w:p>
        </w:tc>
        <w:tc>
          <w:tcPr>
            <w:tcW w:w="721" w:type="dxa"/>
            <w:noWrap/>
            <w:vAlign w:val="bottom"/>
          </w:tcPr>
          <w:p w:rsidR="00FB6E92" w:rsidRPr="00FB6E92" w:rsidRDefault="00FB6E92" w:rsidP="00FB6E92">
            <w:r w:rsidRPr="00FB6E92">
              <w:t>369</w:t>
            </w:r>
          </w:p>
        </w:tc>
        <w:tc>
          <w:tcPr>
            <w:tcW w:w="1419" w:type="dxa"/>
            <w:noWrap/>
            <w:vAlign w:val="bottom"/>
          </w:tcPr>
          <w:p w:rsidR="00FB6E92" w:rsidRPr="00FB6E92" w:rsidRDefault="00FB6E92" w:rsidP="00FB6E92">
            <w:r w:rsidRPr="00FB6E92">
              <w:t>3998</w:t>
            </w:r>
          </w:p>
        </w:tc>
        <w:tc>
          <w:tcPr>
            <w:tcW w:w="1166" w:type="dxa"/>
            <w:noWrap/>
            <w:vAlign w:val="bottom"/>
          </w:tcPr>
          <w:p w:rsidR="00FB6E92" w:rsidRPr="00FB6E92" w:rsidRDefault="00FB6E92" w:rsidP="00FB6E92">
            <w:r w:rsidRPr="00FB6E92">
              <w:t>1.0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1.29 (0.94, 1.79)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1.17 (0.85, 1.6)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1.13 (0.81, 1.58)</w:t>
            </w:r>
          </w:p>
        </w:tc>
        <w:tc>
          <w:tcPr>
            <w:tcW w:w="830" w:type="dxa"/>
            <w:noWrap/>
            <w:vAlign w:val="bottom"/>
          </w:tcPr>
          <w:p w:rsidR="00FB6E92" w:rsidRPr="00FB6E92" w:rsidRDefault="00FB6E92" w:rsidP="00FB6E92">
            <w:r w:rsidRPr="00FB6E92">
              <w:t>0.57</w:t>
            </w:r>
          </w:p>
        </w:tc>
        <w:tc>
          <w:tcPr>
            <w:tcW w:w="724" w:type="dxa"/>
            <w:vAlign w:val="bottom"/>
          </w:tcPr>
          <w:p w:rsidR="00FB6E92" w:rsidRPr="00FB6E92" w:rsidRDefault="00FB6E92" w:rsidP="00FB6E92"/>
        </w:tc>
      </w:tr>
      <w:tr w:rsidR="00FB6E92" w:rsidRPr="00FB6E92" w:rsidTr="00300775">
        <w:trPr>
          <w:trHeight w:val="288"/>
        </w:trPr>
        <w:tc>
          <w:tcPr>
            <w:tcW w:w="2265" w:type="dxa"/>
            <w:tcBorders>
              <w:top w:val="nil"/>
              <w:bottom w:val="nil"/>
            </w:tcBorders>
            <w:noWrap/>
            <w:vAlign w:val="bottom"/>
          </w:tcPr>
          <w:p w:rsidR="00FB6E92" w:rsidRPr="00FB6E92" w:rsidRDefault="00FB6E92" w:rsidP="00FB6E92">
            <w:pPr>
              <w:rPr>
                <w:b/>
              </w:rPr>
            </w:pPr>
            <w:r w:rsidRPr="00FB6E92">
              <w:rPr>
                <w:b/>
              </w:rPr>
              <w:t>Combined</w:t>
            </w:r>
          </w:p>
        </w:tc>
        <w:tc>
          <w:tcPr>
            <w:tcW w:w="721" w:type="dxa"/>
            <w:tcBorders>
              <w:top w:val="nil"/>
              <w:bottom w:val="nil"/>
            </w:tcBorders>
            <w:noWrap/>
            <w:vAlign w:val="bottom"/>
          </w:tcPr>
          <w:p w:rsidR="00FB6E92" w:rsidRPr="00FB6E92" w:rsidRDefault="00FB6E92" w:rsidP="00FB6E92">
            <w:r w:rsidRPr="00FB6E92">
              <w:t>2530</w:t>
            </w:r>
          </w:p>
        </w:tc>
        <w:tc>
          <w:tcPr>
            <w:tcW w:w="1419" w:type="dxa"/>
            <w:tcBorders>
              <w:top w:val="nil"/>
              <w:bottom w:val="nil"/>
            </w:tcBorders>
            <w:noWrap/>
            <w:vAlign w:val="bottom"/>
          </w:tcPr>
          <w:p w:rsidR="00FB6E92" w:rsidRPr="00FB6E92" w:rsidRDefault="00FB6E92" w:rsidP="00FB6E92">
            <w:r w:rsidRPr="00FB6E92">
              <w:t>7674</w:t>
            </w:r>
          </w:p>
        </w:tc>
        <w:tc>
          <w:tcPr>
            <w:tcW w:w="1166" w:type="dxa"/>
            <w:tcBorders>
              <w:top w:val="nil"/>
              <w:bottom w:val="nil"/>
            </w:tcBorders>
            <w:noWrap/>
            <w:vAlign w:val="bottom"/>
          </w:tcPr>
          <w:p w:rsidR="00FB6E92" w:rsidRPr="00FB6E92" w:rsidRDefault="00FB6E92" w:rsidP="00FB6E92">
            <w:r w:rsidRPr="00FB6E92">
              <w:t>1.0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bottom"/>
          </w:tcPr>
          <w:p w:rsidR="00FB6E92" w:rsidRPr="00FB6E92" w:rsidRDefault="00FB6E92" w:rsidP="00FB6E92">
            <w:r w:rsidRPr="00FB6E92">
              <w:t>1.17 (1.01, 1.35)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bottom"/>
          </w:tcPr>
          <w:p w:rsidR="00FB6E92" w:rsidRPr="00FB6E92" w:rsidRDefault="00FB6E92" w:rsidP="00FB6E92">
            <w:r w:rsidRPr="00FB6E92">
              <w:t>1.18 (1.02, 1.36)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bottom"/>
          </w:tcPr>
          <w:p w:rsidR="00FB6E92" w:rsidRPr="00FB6E92" w:rsidRDefault="00FB6E92" w:rsidP="00FB6E92">
            <w:r w:rsidRPr="00FB6E92">
              <w:t>1.29 (1.11, 1.50)</w:t>
            </w:r>
          </w:p>
        </w:tc>
        <w:tc>
          <w:tcPr>
            <w:tcW w:w="830" w:type="dxa"/>
            <w:tcBorders>
              <w:top w:val="nil"/>
              <w:bottom w:val="nil"/>
            </w:tcBorders>
            <w:noWrap/>
            <w:vAlign w:val="bottom"/>
          </w:tcPr>
          <w:p w:rsidR="00FB6E92" w:rsidRPr="00FB6E92" w:rsidRDefault="00FB6E92" w:rsidP="00FB6E92">
            <w:r w:rsidRPr="00FB6E92">
              <w:t>0.0013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FB6E92" w:rsidRPr="00FB6E92" w:rsidRDefault="00FB6E92" w:rsidP="00FB6E92">
            <w:r w:rsidRPr="00FB6E92">
              <w:t>3</w:t>
            </w:r>
          </w:p>
        </w:tc>
      </w:tr>
      <w:tr w:rsidR="00FB6E92" w:rsidRPr="00FB6E92" w:rsidTr="00300775">
        <w:trPr>
          <w:trHeight w:val="288"/>
        </w:trPr>
        <w:tc>
          <w:tcPr>
            <w:tcW w:w="2265" w:type="dxa"/>
            <w:tcBorders>
              <w:top w:val="nil"/>
              <w:bottom w:val="nil"/>
            </w:tcBorders>
            <w:noWrap/>
            <w:vAlign w:val="bottom"/>
          </w:tcPr>
          <w:p w:rsidR="00FB6E92" w:rsidRPr="00FB6E92" w:rsidRDefault="00FB6E92" w:rsidP="00FB6E92"/>
        </w:tc>
        <w:tc>
          <w:tcPr>
            <w:tcW w:w="721" w:type="dxa"/>
            <w:tcBorders>
              <w:top w:val="nil"/>
              <w:bottom w:val="nil"/>
            </w:tcBorders>
            <w:noWrap/>
            <w:vAlign w:val="bottom"/>
          </w:tcPr>
          <w:p w:rsidR="00FB6E92" w:rsidRPr="00FB6E92" w:rsidRDefault="00FB6E92" w:rsidP="00FB6E92"/>
        </w:tc>
        <w:tc>
          <w:tcPr>
            <w:tcW w:w="1419" w:type="dxa"/>
            <w:tcBorders>
              <w:top w:val="nil"/>
              <w:bottom w:val="nil"/>
            </w:tcBorders>
            <w:noWrap/>
            <w:vAlign w:val="bottom"/>
          </w:tcPr>
          <w:p w:rsidR="00FB6E92" w:rsidRPr="00FB6E92" w:rsidRDefault="00FB6E92" w:rsidP="00FB6E92"/>
        </w:tc>
        <w:tc>
          <w:tcPr>
            <w:tcW w:w="1166" w:type="dxa"/>
            <w:tcBorders>
              <w:top w:val="nil"/>
              <w:bottom w:val="nil"/>
            </w:tcBorders>
            <w:noWrap/>
            <w:vAlign w:val="bottom"/>
          </w:tcPr>
          <w:p w:rsidR="00FB6E92" w:rsidRPr="00FB6E92" w:rsidRDefault="00FB6E92" w:rsidP="00FB6E92"/>
        </w:tc>
        <w:tc>
          <w:tcPr>
            <w:tcW w:w="1710" w:type="dxa"/>
            <w:tcBorders>
              <w:top w:val="nil"/>
              <w:bottom w:val="nil"/>
            </w:tcBorders>
            <w:noWrap/>
            <w:vAlign w:val="bottom"/>
          </w:tcPr>
          <w:p w:rsidR="00FB6E92" w:rsidRPr="00FB6E92" w:rsidRDefault="00FB6E92" w:rsidP="00FB6E92"/>
        </w:tc>
        <w:tc>
          <w:tcPr>
            <w:tcW w:w="1710" w:type="dxa"/>
            <w:tcBorders>
              <w:top w:val="nil"/>
              <w:bottom w:val="nil"/>
            </w:tcBorders>
            <w:noWrap/>
            <w:vAlign w:val="bottom"/>
          </w:tcPr>
          <w:p w:rsidR="00FB6E92" w:rsidRPr="00FB6E92" w:rsidRDefault="00FB6E92" w:rsidP="00FB6E92"/>
        </w:tc>
        <w:tc>
          <w:tcPr>
            <w:tcW w:w="1710" w:type="dxa"/>
            <w:tcBorders>
              <w:top w:val="nil"/>
              <w:bottom w:val="nil"/>
            </w:tcBorders>
            <w:noWrap/>
            <w:vAlign w:val="bottom"/>
          </w:tcPr>
          <w:p w:rsidR="00FB6E92" w:rsidRPr="00FB6E92" w:rsidRDefault="00FB6E92" w:rsidP="00FB6E92"/>
        </w:tc>
        <w:tc>
          <w:tcPr>
            <w:tcW w:w="830" w:type="dxa"/>
            <w:tcBorders>
              <w:top w:val="nil"/>
              <w:bottom w:val="nil"/>
            </w:tcBorders>
            <w:noWrap/>
            <w:vAlign w:val="bottom"/>
          </w:tcPr>
          <w:p w:rsidR="00FB6E92" w:rsidRPr="00FB6E92" w:rsidRDefault="00FB6E92" w:rsidP="00FB6E92"/>
        </w:tc>
        <w:tc>
          <w:tcPr>
            <w:tcW w:w="724" w:type="dxa"/>
            <w:tcBorders>
              <w:top w:val="nil"/>
              <w:bottom w:val="nil"/>
            </w:tcBorders>
            <w:vAlign w:val="bottom"/>
          </w:tcPr>
          <w:p w:rsidR="00FB6E92" w:rsidRPr="00FB6E92" w:rsidRDefault="00FB6E92" w:rsidP="00FB6E92"/>
        </w:tc>
      </w:tr>
      <w:tr w:rsidR="00FB6E92" w:rsidRPr="00FB6E92" w:rsidTr="00300775">
        <w:trPr>
          <w:trHeight w:val="288"/>
        </w:trPr>
        <w:tc>
          <w:tcPr>
            <w:tcW w:w="2986" w:type="dxa"/>
            <w:gridSpan w:val="2"/>
            <w:tcBorders>
              <w:top w:val="nil"/>
            </w:tcBorders>
            <w:noWrap/>
            <w:vAlign w:val="bottom"/>
          </w:tcPr>
          <w:p w:rsidR="00FB6E92" w:rsidRPr="00FB6E92" w:rsidRDefault="00FB6E92" w:rsidP="00FB6E92">
            <w:pPr>
              <w:rPr>
                <w:b/>
              </w:rPr>
            </w:pPr>
            <w:r w:rsidRPr="00FB6E92">
              <w:rPr>
                <w:b/>
              </w:rPr>
              <w:t>Total Red meat</w:t>
            </w:r>
          </w:p>
        </w:tc>
        <w:tc>
          <w:tcPr>
            <w:tcW w:w="1419" w:type="dxa"/>
            <w:tcBorders>
              <w:top w:val="nil"/>
            </w:tcBorders>
            <w:noWrap/>
            <w:vAlign w:val="bottom"/>
          </w:tcPr>
          <w:p w:rsidR="00FB6E92" w:rsidRPr="00FB6E92" w:rsidRDefault="00FB6E92" w:rsidP="00FB6E92"/>
        </w:tc>
        <w:tc>
          <w:tcPr>
            <w:tcW w:w="1166" w:type="dxa"/>
            <w:tcBorders>
              <w:top w:val="nil"/>
            </w:tcBorders>
            <w:noWrap/>
            <w:vAlign w:val="bottom"/>
          </w:tcPr>
          <w:p w:rsidR="00FB6E92" w:rsidRPr="00FB6E92" w:rsidRDefault="00FB6E92" w:rsidP="00FB6E92"/>
        </w:tc>
        <w:tc>
          <w:tcPr>
            <w:tcW w:w="1710" w:type="dxa"/>
            <w:tcBorders>
              <w:top w:val="nil"/>
            </w:tcBorders>
            <w:noWrap/>
            <w:vAlign w:val="bottom"/>
          </w:tcPr>
          <w:p w:rsidR="00FB6E92" w:rsidRPr="00FB6E92" w:rsidRDefault="00FB6E92" w:rsidP="00FB6E92"/>
        </w:tc>
        <w:tc>
          <w:tcPr>
            <w:tcW w:w="1710" w:type="dxa"/>
            <w:tcBorders>
              <w:top w:val="nil"/>
            </w:tcBorders>
            <w:noWrap/>
            <w:vAlign w:val="bottom"/>
          </w:tcPr>
          <w:p w:rsidR="00FB6E92" w:rsidRPr="00FB6E92" w:rsidRDefault="00FB6E92" w:rsidP="00FB6E92"/>
        </w:tc>
        <w:tc>
          <w:tcPr>
            <w:tcW w:w="1710" w:type="dxa"/>
            <w:tcBorders>
              <w:top w:val="nil"/>
            </w:tcBorders>
            <w:noWrap/>
            <w:vAlign w:val="bottom"/>
          </w:tcPr>
          <w:p w:rsidR="00FB6E92" w:rsidRPr="00FB6E92" w:rsidRDefault="00FB6E92" w:rsidP="00FB6E92"/>
        </w:tc>
        <w:tc>
          <w:tcPr>
            <w:tcW w:w="830" w:type="dxa"/>
            <w:tcBorders>
              <w:top w:val="nil"/>
            </w:tcBorders>
            <w:noWrap/>
            <w:vAlign w:val="bottom"/>
          </w:tcPr>
          <w:p w:rsidR="00FB6E92" w:rsidRPr="00FB6E92" w:rsidRDefault="00FB6E92" w:rsidP="00FB6E92"/>
        </w:tc>
        <w:tc>
          <w:tcPr>
            <w:tcW w:w="724" w:type="dxa"/>
            <w:tcBorders>
              <w:top w:val="nil"/>
            </w:tcBorders>
            <w:vAlign w:val="bottom"/>
          </w:tcPr>
          <w:p w:rsidR="00FB6E92" w:rsidRPr="00FB6E92" w:rsidRDefault="00FB6E92" w:rsidP="00FB6E92"/>
        </w:tc>
      </w:tr>
      <w:tr w:rsidR="00FB6E92" w:rsidRPr="00FB6E92" w:rsidTr="00300775">
        <w:trPr>
          <w:trHeight w:val="288"/>
        </w:trPr>
        <w:tc>
          <w:tcPr>
            <w:tcW w:w="2265" w:type="dxa"/>
            <w:noWrap/>
            <w:vAlign w:val="bottom"/>
          </w:tcPr>
          <w:p w:rsidR="00FB6E92" w:rsidRPr="00FB6E92" w:rsidRDefault="00FB6E92" w:rsidP="00FB6E92">
            <w:pPr>
              <w:rPr>
                <w:b/>
              </w:rPr>
            </w:pPr>
            <w:r w:rsidRPr="00FB6E92">
              <w:rPr>
                <w:b/>
              </w:rPr>
              <w:t>Japanese</w:t>
            </w:r>
          </w:p>
        </w:tc>
        <w:tc>
          <w:tcPr>
            <w:tcW w:w="721" w:type="dxa"/>
            <w:noWrap/>
            <w:vAlign w:val="bottom"/>
          </w:tcPr>
          <w:p w:rsidR="00FB6E92" w:rsidRPr="00FB6E92" w:rsidRDefault="00FB6E92" w:rsidP="00FB6E92">
            <w:r w:rsidRPr="00FB6E92">
              <w:t>2161</w:t>
            </w:r>
          </w:p>
        </w:tc>
        <w:tc>
          <w:tcPr>
            <w:tcW w:w="1419" w:type="dxa"/>
            <w:noWrap/>
            <w:vAlign w:val="bottom"/>
          </w:tcPr>
          <w:p w:rsidR="00FB6E92" w:rsidRPr="00FB6E92" w:rsidRDefault="00FB6E92" w:rsidP="00FB6E92">
            <w:r w:rsidRPr="00FB6E92">
              <w:t>3676</w:t>
            </w:r>
          </w:p>
        </w:tc>
        <w:tc>
          <w:tcPr>
            <w:tcW w:w="1166" w:type="dxa"/>
            <w:noWrap/>
            <w:vAlign w:val="bottom"/>
          </w:tcPr>
          <w:p w:rsidR="00FB6E92" w:rsidRPr="00FB6E92" w:rsidRDefault="00FB6E92" w:rsidP="00FB6E92">
            <w:r w:rsidRPr="00FB6E92">
              <w:t>1.0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1.19 (1.01, 1.39)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1.15 (0.98, 1.35)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1.40 (1.19, 1.66)</w:t>
            </w:r>
          </w:p>
        </w:tc>
        <w:tc>
          <w:tcPr>
            <w:tcW w:w="830" w:type="dxa"/>
            <w:noWrap/>
            <w:vAlign w:val="bottom"/>
          </w:tcPr>
          <w:p w:rsidR="00FB6E92" w:rsidRPr="00FB6E92" w:rsidRDefault="00FB6E92" w:rsidP="00FB6E92">
            <w:r w:rsidRPr="00FB6E92">
              <w:t>0.0004</w:t>
            </w:r>
          </w:p>
        </w:tc>
        <w:tc>
          <w:tcPr>
            <w:tcW w:w="724" w:type="dxa"/>
            <w:vAlign w:val="bottom"/>
          </w:tcPr>
          <w:p w:rsidR="00FB6E92" w:rsidRPr="00FB6E92" w:rsidRDefault="00FB6E92" w:rsidP="00FB6E92"/>
        </w:tc>
      </w:tr>
      <w:tr w:rsidR="00FB6E92" w:rsidRPr="00FB6E92" w:rsidTr="00300775">
        <w:trPr>
          <w:trHeight w:val="288"/>
        </w:trPr>
        <w:tc>
          <w:tcPr>
            <w:tcW w:w="2265" w:type="dxa"/>
            <w:noWrap/>
            <w:vAlign w:val="bottom"/>
          </w:tcPr>
          <w:p w:rsidR="00FB6E92" w:rsidRPr="00FB6E92" w:rsidRDefault="00FB6E92" w:rsidP="00FB6E92">
            <w:pPr>
              <w:rPr>
                <w:b/>
              </w:rPr>
            </w:pPr>
            <w:r w:rsidRPr="00FB6E92">
              <w:rPr>
                <w:b/>
              </w:rPr>
              <w:t>African American</w:t>
            </w:r>
          </w:p>
        </w:tc>
        <w:tc>
          <w:tcPr>
            <w:tcW w:w="721" w:type="dxa"/>
            <w:noWrap/>
            <w:vAlign w:val="bottom"/>
          </w:tcPr>
          <w:p w:rsidR="00FB6E92" w:rsidRPr="00FB6E92" w:rsidRDefault="00FB6E92" w:rsidP="00FB6E92">
            <w:r w:rsidRPr="00FB6E92">
              <w:t>369</w:t>
            </w:r>
          </w:p>
        </w:tc>
        <w:tc>
          <w:tcPr>
            <w:tcW w:w="1419" w:type="dxa"/>
            <w:noWrap/>
            <w:vAlign w:val="bottom"/>
          </w:tcPr>
          <w:p w:rsidR="00FB6E92" w:rsidRPr="00FB6E92" w:rsidRDefault="00FB6E92" w:rsidP="00FB6E92">
            <w:r w:rsidRPr="00FB6E92">
              <w:t>3998</w:t>
            </w:r>
          </w:p>
        </w:tc>
        <w:tc>
          <w:tcPr>
            <w:tcW w:w="1166" w:type="dxa"/>
            <w:noWrap/>
            <w:vAlign w:val="bottom"/>
          </w:tcPr>
          <w:p w:rsidR="00FB6E92" w:rsidRPr="00FB6E92" w:rsidRDefault="00FB6E92" w:rsidP="00FB6E92">
            <w:r w:rsidRPr="00FB6E92">
              <w:t>1.0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1.65 (1.20, 2.28)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1.33 (0.97, 1.84)</w:t>
            </w:r>
          </w:p>
        </w:tc>
        <w:tc>
          <w:tcPr>
            <w:tcW w:w="1710" w:type="dxa"/>
            <w:noWrap/>
            <w:vAlign w:val="bottom"/>
          </w:tcPr>
          <w:p w:rsidR="00FB6E92" w:rsidRPr="00FB6E92" w:rsidRDefault="00FB6E92" w:rsidP="00FB6E92">
            <w:r w:rsidRPr="00FB6E92">
              <w:t>1.33 (0.95, 1.87)</w:t>
            </w:r>
          </w:p>
        </w:tc>
        <w:tc>
          <w:tcPr>
            <w:tcW w:w="830" w:type="dxa"/>
            <w:noWrap/>
            <w:vAlign w:val="bottom"/>
          </w:tcPr>
          <w:p w:rsidR="00FB6E92" w:rsidRPr="00FB6E92" w:rsidRDefault="00FB6E92" w:rsidP="00FB6E92">
            <w:r w:rsidRPr="00FB6E92">
              <w:t>0.16</w:t>
            </w:r>
          </w:p>
        </w:tc>
        <w:tc>
          <w:tcPr>
            <w:tcW w:w="724" w:type="dxa"/>
            <w:vAlign w:val="bottom"/>
          </w:tcPr>
          <w:p w:rsidR="00FB6E92" w:rsidRPr="00FB6E92" w:rsidRDefault="00FB6E92" w:rsidP="00FB6E92"/>
        </w:tc>
      </w:tr>
      <w:tr w:rsidR="00FB6E92" w:rsidRPr="00FB6E92" w:rsidTr="00300775">
        <w:trPr>
          <w:trHeight w:val="288"/>
        </w:trPr>
        <w:tc>
          <w:tcPr>
            <w:tcW w:w="2265" w:type="dxa"/>
            <w:tcBorders>
              <w:bottom w:val="single" w:sz="4" w:space="0" w:color="auto"/>
            </w:tcBorders>
            <w:noWrap/>
            <w:vAlign w:val="bottom"/>
          </w:tcPr>
          <w:p w:rsidR="00FB6E92" w:rsidRPr="00FB6E92" w:rsidRDefault="00FB6E92" w:rsidP="00FB6E92">
            <w:pPr>
              <w:rPr>
                <w:b/>
              </w:rPr>
            </w:pPr>
            <w:r w:rsidRPr="00FB6E92">
              <w:rPr>
                <w:b/>
              </w:rPr>
              <w:t>Combined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  <w:vAlign w:val="bottom"/>
          </w:tcPr>
          <w:p w:rsidR="00FB6E92" w:rsidRPr="00FB6E92" w:rsidRDefault="00FB6E92" w:rsidP="00FB6E92">
            <w:r w:rsidRPr="00FB6E92">
              <w:t>2530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noWrap/>
            <w:vAlign w:val="bottom"/>
          </w:tcPr>
          <w:p w:rsidR="00FB6E92" w:rsidRPr="00FB6E92" w:rsidRDefault="00FB6E92" w:rsidP="00FB6E92">
            <w:r w:rsidRPr="00FB6E92">
              <w:t>7674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noWrap/>
            <w:vAlign w:val="bottom"/>
          </w:tcPr>
          <w:p w:rsidR="00FB6E92" w:rsidRPr="00FB6E92" w:rsidRDefault="00FB6E92" w:rsidP="00FB6E92">
            <w:r w:rsidRPr="00FB6E92">
              <w:t>1.0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bottom"/>
          </w:tcPr>
          <w:p w:rsidR="00FB6E92" w:rsidRPr="00FB6E92" w:rsidRDefault="00FB6E92" w:rsidP="00FB6E92">
            <w:r w:rsidRPr="00FB6E92">
              <w:t>1.27 (1.10, 1.46)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bottom"/>
          </w:tcPr>
          <w:p w:rsidR="00FB6E92" w:rsidRPr="00FB6E92" w:rsidRDefault="00FB6E92" w:rsidP="00FB6E92">
            <w:r w:rsidRPr="00FB6E92">
              <w:t>1.18 (1.03, 1.36)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bottom"/>
          </w:tcPr>
          <w:p w:rsidR="00FB6E92" w:rsidRPr="00FB6E92" w:rsidRDefault="00FB6E92" w:rsidP="00FB6E92">
            <w:r w:rsidRPr="00FB6E92">
              <w:t>1.39 (1.19, 1.62)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noWrap/>
            <w:vAlign w:val="bottom"/>
          </w:tcPr>
          <w:p w:rsidR="00FB6E92" w:rsidRPr="00FB6E92" w:rsidRDefault="00FB6E92" w:rsidP="00FB6E92">
            <w:r w:rsidRPr="00FB6E92">
              <w:t>0.0001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:rsidR="00FB6E92" w:rsidRPr="00FB6E92" w:rsidRDefault="00FB6E92" w:rsidP="00FB6E92">
            <w:r w:rsidRPr="00FB6E92">
              <w:t>0</w:t>
            </w:r>
          </w:p>
        </w:tc>
      </w:tr>
    </w:tbl>
    <w:p w:rsidR="00FB6E92" w:rsidRPr="00FB6E92" w:rsidRDefault="00FB6E92" w:rsidP="00FB6E92"/>
    <w:p w:rsidR="00FB6E92" w:rsidRPr="00FB6E92" w:rsidRDefault="00FB6E92" w:rsidP="00FB6E92">
      <w:proofErr w:type="gramStart"/>
      <w:r w:rsidRPr="00FB6E92">
        <w:t>Adjusted for age, sex, BMI (continuous), the first 4 principal components and sub-study sites, folate and calcium intake from food, dietary fiber, and pack-years of smoking.</w:t>
      </w:r>
      <w:proofErr w:type="gramEnd"/>
    </w:p>
    <w:p w:rsidR="00FB6E92" w:rsidRPr="00FB6E92" w:rsidRDefault="00FB6E92" w:rsidP="00FB6E92"/>
    <w:p w:rsidR="007F25B2" w:rsidRDefault="00FB6E92" w:rsidP="00FB6E92">
      <w:r w:rsidRPr="00FB6E92">
        <w:t>Sample sizes were reduced due to sporadic missing values in covariates.</w:t>
      </w:r>
    </w:p>
    <w:sectPr w:rsidR="007F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92"/>
    <w:rsid w:val="007F25B2"/>
    <w:rsid w:val="00F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</dc:creator>
  <cp:lastModifiedBy>Loic</cp:lastModifiedBy>
  <cp:revision>1</cp:revision>
  <dcterms:created xsi:type="dcterms:W3CDTF">2015-11-19T14:58:00Z</dcterms:created>
  <dcterms:modified xsi:type="dcterms:W3CDTF">2015-11-19T14:58:00Z</dcterms:modified>
</cp:coreProperties>
</file>