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9B73" w14:textId="3FC7378F" w:rsidR="00263223" w:rsidRPr="00AD00D8" w:rsidRDefault="00263223" w:rsidP="00263223">
      <w:pPr>
        <w:jc w:val="center"/>
        <w:rPr>
          <w:b/>
          <w:color w:val="000080"/>
          <w:sz w:val="28"/>
        </w:rPr>
      </w:pPr>
      <w:r w:rsidRPr="00AD00D8">
        <w:rPr>
          <w:b/>
          <w:color w:val="000000" w:themeColor="text1"/>
          <w:sz w:val="28"/>
        </w:rPr>
        <w:t>Factors contributing to child mortality reductions in 14</w:t>
      </w:r>
      <w:r w:rsidR="00467E8A">
        <w:rPr>
          <w:b/>
          <w:color w:val="000000" w:themeColor="text1"/>
          <w:sz w:val="28"/>
        </w:rPr>
        <w:t xml:space="preserve">6 </w:t>
      </w:r>
      <w:r w:rsidRPr="00AD00D8">
        <w:rPr>
          <w:b/>
          <w:color w:val="000000" w:themeColor="text1"/>
          <w:sz w:val="28"/>
        </w:rPr>
        <w:t>low- and middle-income countries between 1990 and 2010</w:t>
      </w:r>
    </w:p>
    <w:sdt>
      <w:sdtPr>
        <w:rPr>
          <w:rFonts w:asciiTheme="minorHAnsi" w:eastAsiaTheme="minorHAnsi" w:hAnsiTheme="minorHAnsi" w:cstheme="minorBidi"/>
          <w:b w:val="0"/>
          <w:bCs w:val="0"/>
          <w:color w:val="auto"/>
          <w:sz w:val="22"/>
          <w:szCs w:val="22"/>
          <w:lang w:eastAsia="en-US"/>
        </w:rPr>
        <w:id w:val="2102217609"/>
        <w:docPartObj>
          <w:docPartGallery w:val="Table of Contents"/>
          <w:docPartUnique/>
        </w:docPartObj>
      </w:sdtPr>
      <w:sdtEndPr>
        <w:rPr>
          <w:noProof/>
        </w:rPr>
      </w:sdtEndPr>
      <w:sdtContent>
        <w:p w14:paraId="53BD53D5" w14:textId="77777777" w:rsidR="00263223" w:rsidRPr="000D2B1D" w:rsidRDefault="00263223" w:rsidP="00263223">
          <w:pPr>
            <w:pStyle w:val="TOCHeading"/>
            <w:jc w:val="both"/>
            <w:rPr>
              <w:color w:val="auto"/>
            </w:rPr>
          </w:pPr>
          <w:r w:rsidRPr="000D2B1D">
            <w:rPr>
              <w:color w:val="auto"/>
            </w:rPr>
            <w:t>APPENDIX</w:t>
          </w:r>
          <w:r w:rsidRPr="000D2B1D">
            <w:rPr>
              <w:rFonts w:asciiTheme="minorHAnsi" w:eastAsiaTheme="minorHAnsi" w:hAnsiTheme="minorHAnsi" w:cstheme="minorBidi"/>
              <w:bCs w:val="0"/>
              <w:color w:val="auto"/>
              <w:sz w:val="22"/>
              <w:szCs w:val="22"/>
              <w:lang w:eastAsia="en-US"/>
            </w:rPr>
            <w:t xml:space="preserve"> </w:t>
          </w:r>
          <w:r w:rsidRPr="000D2B1D">
            <w:rPr>
              <w:color w:val="auto"/>
            </w:rPr>
            <w:t>CONTENTS</w:t>
          </w:r>
        </w:p>
        <w:p w14:paraId="65A9A2B8" w14:textId="77777777" w:rsidR="000079B4" w:rsidRDefault="0026322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9262130" w:history="1">
            <w:r w:rsidR="000079B4" w:rsidRPr="00F63168">
              <w:rPr>
                <w:rStyle w:val="Hyperlink"/>
                <w:noProof/>
              </w:rPr>
              <w:t>METHODS</w:t>
            </w:r>
            <w:r w:rsidR="000079B4">
              <w:rPr>
                <w:noProof/>
                <w:webHidden/>
              </w:rPr>
              <w:tab/>
            </w:r>
            <w:r w:rsidR="000079B4">
              <w:rPr>
                <w:noProof/>
                <w:webHidden/>
              </w:rPr>
              <w:fldChar w:fldCharType="begin"/>
            </w:r>
            <w:r w:rsidR="000079B4">
              <w:rPr>
                <w:noProof/>
                <w:webHidden/>
              </w:rPr>
              <w:instrText xml:space="preserve"> PAGEREF _Toc439262130 \h </w:instrText>
            </w:r>
            <w:r w:rsidR="000079B4">
              <w:rPr>
                <w:noProof/>
                <w:webHidden/>
              </w:rPr>
            </w:r>
            <w:r w:rsidR="000079B4">
              <w:rPr>
                <w:noProof/>
                <w:webHidden/>
              </w:rPr>
              <w:fldChar w:fldCharType="separate"/>
            </w:r>
            <w:r w:rsidR="000079B4">
              <w:rPr>
                <w:noProof/>
                <w:webHidden/>
              </w:rPr>
              <w:t>1</w:t>
            </w:r>
            <w:r w:rsidR="000079B4">
              <w:rPr>
                <w:noProof/>
                <w:webHidden/>
              </w:rPr>
              <w:fldChar w:fldCharType="end"/>
            </w:r>
          </w:hyperlink>
        </w:p>
        <w:p w14:paraId="37D46AF3" w14:textId="77777777" w:rsidR="000079B4" w:rsidRDefault="000079B4">
          <w:pPr>
            <w:pStyle w:val="TOC1"/>
            <w:tabs>
              <w:tab w:val="right" w:leader="dot" w:pos="9350"/>
            </w:tabs>
            <w:rPr>
              <w:rFonts w:eastAsiaTheme="minorEastAsia"/>
              <w:noProof/>
            </w:rPr>
          </w:pPr>
          <w:hyperlink w:anchor="_Toc439262131" w:history="1">
            <w:r w:rsidRPr="00F63168">
              <w:rPr>
                <w:rStyle w:val="Hyperlink"/>
                <w:noProof/>
              </w:rPr>
              <w:t>SENSITIVITY ANALYSIS</w:t>
            </w:r>
            <w:r>
              <w:rPr>
                <w:noProof/>
                <w:webHidden/>
              </w:rPr>
              <w:tab/>
            </w:r>
            <w:r>
              <w:rPr>
                <w:noProof/>
                <w:webHidden/>
              </w:rPr>
              <w:fldChar w:fldCharType="begin"/>
            </w:r>
            <w:r>
              <w:rPr>
                <w:noProof/>
                <w:webHidden/>
              </w:rPr>
              <w:instrText xml:space="preserve"> PAGEREF _Toc439262131 \h </w:instrText>
            </w:r>
            <w:r>
              <w:rPr>
                <w:noProof/>
                <w:webHidden/>
              </w:rPr>
            </w:r>
            <w:r>
              <w:rPr>
                <w:noProof/>
                <w:webHidden/>
              </w:rPr>
              <w:fldChar w:fldCharType="separate"/>
            </w:r>
            <w:r>
              <w:rPr>
                <w:noProof/>
                <w:webHidden/>
              </w:rPr>
              <w:t>3</w:t>
            </w:r>
            <w:r>
              <w:rPr>
                <w:noProof/>
                <w:webHidden/>
              </w:rPr>
              <w:fldChar w:fldCharType="end"/>
            </w:r>
          </w:hyperlink>
        </w:p>
        <w:p w14:paraId="6B17BAA6" w14:textId="77777777" w:rsidR="000079B4" w:rsidRDefault="000079B4">
          <w:pPr>
            <w:pStyle w:val="TOC1"/>
            <w:tabs>
              <w:tab w:val="right" w:leader="dot" w:pos="9350"/>
            </w:tabs>
            <w:rPr>
              <w:rFonts w:eastAsiaTheme="minorEastAsia"/>
              <w:noProof/>
            </w:rPr>
          </w:pPr>
          <w:hyperlink w:anchor="_Toc439262132" w:history="1">
            <w:r w:rsidRPr="00F63168">
              <w:rPr>
                <w:rStyle w:val="Hyperlink"/>
                <w:noProof/>
              </w:rPr>
              <w:t>RESULTS</w:t>
            </w:r>
            <w:r>
              <w:rPr>
                <w:noProof/>
                <w:webHidden/>
              </w:rPr>
              <w:tab/>
            </w:r>
            <w:r>
              <w:rPr>
                <w:noProof/>
                <w:webHidden/>
              </w:rPr>
              <w:fldChar w:fldCharType="begin"/>
            </w:r>
            <w:r>
              <w:rPr>
                <w:noProof/>
                <w:webHidden/>
              </w:rPr>
              <w:instrText xml:space="preserve"> PAGEREF _Toc439262132 \h </w:instrText>
            </w:r>
            <w:r>
              <w:rPr>
                <w:noProof/>
                <w:webHidden/>
              </w:rPr>
            </w:r>
            <w:r>
              <w:rPr>
                <w:noProof/>
                <w:webHidden/>
              </w:rPr>
              <w:fldChar w:fldCharType="separate"/>
            </w:r>
            <w:r>
              <w:rPr>
                <w:noProof/>
                <w:webHidden/>
              </w:rPr>
              <w:t>7</w:t>
            </w:r>
            <w:r>
              <w:rPr>
                <w:noProof/>
                <w:webHidden/>
              </w:rPr>
              <w:fldChar w:fldCharType="end"/>
            </w:r>
          </w:hyperlink>
        </w:p>
        <w:p w14:paraId="0860725C" w14:textId="77777777" w:rsidR="000079B4" w:rsidRDefault="000079B4">
          <w:pPr>
            <w:pStyle w:val="TOC1"/>
            <w:tabs>
              <w:tab w:val="right" w:leader="dot" w:pos="9350"/>
            </w:tabs>
            <w:rPr>
              <w:rFonts w:eastAsiaTheme="minorEastAsia"/>
              <w:noProof/>
            </w:rPr>
          </w:pPr>
          <w:hyperlink w:anchor="_Toc439262133" w:history="1">
            <w:r w:rsidRPr="00F63168">
              <w:rPr>
                <w:rStyle w:val="Hyperlink"/>
                <w:noProof/>
              </w:rPr>
              <w:t>STATA CODE</w:t>
            </w:r>
            <w:r>
              <w:rPr>
                <w:noProof/>
                <w:webHidden/>
              </w:rPr>
              <w:tab/>
            </w:r>
            <w:r>
              <w:rPr>
                <w:noProof/>
                <w:webHidden/>
              </w:rPr>
              <w:fldChar w:fldCharType="begin"/>
            </w:r>
            <w:r>
              <w:rPr>
                <w:noProof/>
                <w:webHidden/>
              </w:rPr>
              <w:instrText xml:space="preserve"> PAGEREF _Toc439262133 \h </w:instrText>
            </w:r>
            <w:r>
              <w:rPr>
                <w:noProof/>
                <w:webHidden/>
              </w:rPr>
            </w:r>
            <w:r>
              <w:rPr>
                <w:noProof/>
                <w:webHidden/>
              </w:rPr>
              <w:fldChar w:fldCharType="separate"/>
            </w:r>
            <w:r>
              <w:rPr>
                <w:noProof/>
                <w:webHidden/>
              </w:rPr>
              <w:t>9</w:t>
            </w:r>
            <w:r>
              <w:rPr>
                <w:noProof/>
                <w:webHidden/>
              </w:rPr>
              <w:fldChar w:fldCharType="end"/>
            </w:r>
          </w:hyperlink>
        </w:p>
        <w:p w14:paraId="770FF73B" w14:textId="77777777" w:rsidR="000079B4" w:rsidRDefault="000079B4">
          <w:pPr>
            <w:pStyle w:val="TOC1"/>
            <w:tabs>
              <w:tab w:val="right" w:leader="dot" w:pos="9350"/>
            </w:tabs>
            <w:rPr>
              <w:rFonts w:eastAsiaTheme="minorEastAsia"/>
              <w:noProof/>
            </w:rPr>
          </w:pPr>
          <w:hyperlink w:anchor="_Toc439262134" w:history="1">
            <w:r w:rsidRPr="00F63168">
              <w:rPr>
                <w:rStyle w:val="Hyperlink"/>
                <w:noProof/>
              </w:rPr>
              <w:t>BIBLIOGRAPHY</w:t>
            </w:r>
            <w:r>
              <w:rPr>
                <w:noProof/>
                <w:webHidden/>
              </w:rPr>
              <w:tab/>
            </w:r>
            <w:r>
              <w:rPr>
                <w:noProof/>
                <w:webHidden/>
              </w:rPr>
              <w:fldChar w:fldCharType="begin"/>
            </w:r>
            <w:r>
              <w:rPr>
                <w:noProof/>
                <w:webHidden/>
              </w:rPr>
              <w:instrText xml:space="preserve"> PAGEREF _Toc439262134 \h </w:instrText>
            </w:r>
            <w:r>
              <w:rPr>
                <w:noProof/>
                <w:webHidden/>
              </w:rPr>
            </w:r>
            <w:r>
              <w:rPr>
                <w:noProof/>
                <w:webHidden/>
              </w:rPr>
              <w:fldChar w:fldCharType="separate"/>
            </w:r>
            <w:r>
              <w:rPr>
                <w:noProof/>
                <w:webHidden/>
              </w:rPr>
              <w:t>10</w:t>
            </w:r>
            <w:r>
              <w:rPr>
                <w:noProof/>
                <w:webHidden/>
              </w:rPr>
              <w:fldChar w:fldCharType="end"/>
            </w:r>
          </w:hyperlink>
        </w:p>
        <w:p w14:paraId="217F983D" w14:textId="77777777" w:rsidR="00263223" w:rsidRDefault="00263223" w:rsidP="00263223">
          <w:pPr>
            <w:jc w:val="both"/>
          </w:pPr>
          <w:r>
            <w:rPr>
              <w:b/>
              <w:bCs/>
              <w:noProof/>
            </w:rPr>
            <w:fldChar w:fldCharType="end"/>
          </w:r>
        </w:p>
      </w:sdtContent>
    </w:sdt>
    <w:p w14:paraId="37001914" w14:textId="77777777" w:rsidR="00906944" w:rsidRDefault="00906944" w:rsidP="000D2B1D">
      <w:pPr>
        <w:jc w:val="both"/>
        <w:rPr>
          <w:b/>
        </w:rPr>
      </w:pPr>
    </w:p>
    <w:p w14:paraId="19CEE198" w14:textId="39B8A769" w:rsidR="00906944" w:rsidRPr="00E81562" w:rsidRDefault="000079B4" w:rsidP="000D2B1D">
      <w:pPr>
        <w:pStyle w:val="Heading1"/>
        <w:jc w:val="both"/>
        <w:rPr>
          <w:color w:val="auto"/>
          <w:sz w:val="32"/>
          <w:szCs w:val="32"/>
        </w:rPr>
      </w:pPr>
      <w:bookmarkStart w:id="0" w:name="_Toc439262130"/>
      <w:r>
        <w:rPr>
          <w:color w:val="auto"/>
          <w:sz w:val="32"/>
          <w:szCs w:val="32"/>
        </w:rPr>
        <w:t>METHODS</w:t>
      </w:r>
      <w:bookmarkEnd w:id="0"/>
    </w:p>
    <w:p w14:paraId="30B14914" w14:textId="77777777" w:rsidR="00027E7A" w:rsidRPr="00E81562" w:rsidRDefault="00FF0E32" w:rsidP="000D2B1D">
      <w:pPr>
        <w:jc w:val="both"/>
        <w:rPr>
          <w:b/>
          <w:sz w:val="32"/>
          <w:szCs w:val="32"/>
        </w:rPr>
      </w:pPr>
      <w:r w:rsidRPr="00E81562">
        <w:rPr>
          <w:b/>
          <w:sz w:val="32"/>
          <w:szCs w:val="32"/>
        </w:rPr>
        <w:t>Data Sources</w:t>
      </w:r>
    </w:p>
    <w:p w14:paraId="1C4D5B56" w14:textId="77777777" w:rsidR="00491CD3" w:rsidRPr="00744D0D" w:rsidRDefault="00FF0E32" w:rsidP="000D2B1D">
      <w:pPr>
        <w:jc w:val="both"/>
      </w:pPr>
      <w:r w:rsidRPr="00AD00D8">
        <w:t>Data for outcome and independent variables of interest were extracted and compared between the following sources: Institute for Health Metrics and Evaluation (IHME),</w:t>
      </w:r>
      <w:r w:rsidRPr="00AD00D8">
        <w:fldChar w:fldCharType="begin"/>
      </w:r>
      <w:r w:rsidR="00B46CBB">
        <w:instrText xml:space="preserve"> ADDIN EN.CITE &lt;EndNote&gt;&lt;Cite&gt;&lt;Author&gt;Institute for Health Metrics and Evaluation (IHME)&lt;/Author&gt;&lt;Year&gt;2013&lt;/Year&gt;&lt;RecNum&gt;276&lt;/RecNum&gt;&lt;DisplayText&gt;[1]&lt;/DisplayText&gt;&lt;record&gt;&lt;rec-number&gt;276&lt;/rec-number&gt;&lt;foreign-keys&gt;&lt;key app="EN" db-id="vaaa05tf7s502vefz2kvfd0izap5erafd0sa"&gt;276&lt;/key&gt;&lt;/foreign-keys&gt;&lt;ref-type name="Web Page"&gt;12&lt;/ref-type&gt;&lt;contributors&gt;&lt;authors&gt;&lt;author&gt;Institute for Health Metrics and Evaluation (IHME),&lt;/author&gt;&lt;/authors&gt;&lt;/contributors&gt;&lt;titles&gt;&lt;title&gt;IHME - Accelarating global health progress through sound measurement and accountable science&lt;/title&gt;&lt;/titles&gt;&lt;volume&gt;2013&lt;/volume&gt;&lt;dates&gt;&lt;year&gt;2013&lt;/year&gt;&lt;/dates&gt;&lt;pub-location&gt;Seattle, WA&lt;/pub-location&gt;&lt;urls&gt;&lt;related-urls&gt;&lt;url&gt;http://www.healthmetricsandevaluation.org/&lt;/url&gt;&lt;/related-urls&gt;&lt;/urls&gt;&lt;/record&gt;&lt;/Cite&gt;&lt;/EndNote&gt;</w:instrText>
      </w:r>
      <w:r w:rsidRPr="00AD00D8">
        <w:fldChar w:fldCharType="separate"/>
      </w:r>
      <w:r w:rsidR="00B46CBB">
        <w:rPr>
          <w:noProof/>
        </w:rPr>
        <w:t>[</w:t>
      </w:r>
      <w:hyperlink w:anchor="_ENREF_1" w:tooltip="Institute for Health Metrics and Evaluation (IHME), 2013 #276" w:history="1">
        <w:r w:rsidR="00263223">
          <w:rPr>
            <w:noProof/>
          </w:rPr>
          <w:t>1</w:t>
        </w:r>
      </w:hyperlink>
      <w:r w:rsidR="00B46CBB">
        <w:rPr>
          <w:noProof/>
        </w:rPr>
        <w:t>]</w:t>
      </w:r>
      <w:r w:rsidRPr="00AD00D8">
        <w:fldChar w:fldCharType="end"/>
      </w:r>
      <w:r w:rsidRPr="00AD00D8">
        <w:t xml:space="preserve"> WHO Global Health Observatory </w:t>
      </w:r>
      <w:r w:rsidRPr="00AD00D8">
        <w:fldChar w:fldCharType="begin"/>
      </w:r>
      <w:r w:rsidR="00B46CBB">
        <w:instrText xml:space="preserve"> ADDIN EN.CITE &lt;EndNote&gt;&lt;Cite&gt;&lt;Author&gt;World Health Organization (WHO)&lt;/Author&gt;&lt;Year&gt;2013&lt;/Year&gt;&lt;RecNum&gt;167&lt;/RecNum&gt;&lt;DisplayText&gt;[2]&lt;/DisplayText&gt;&lt;record&gt;&lt;rec-number&gt;167&lt;/rec-number&gt;&lt;foreign-keys&gt;&lt;key app="EN" db-id="vaaa05tf7s502vefz2kvfd0izap5erafd0sa"&gt;167&lt;/key&gt;&lt;/foreign-keys&gt;&lt;ref-type name="Web Page"&gt;12&lt;/ref-type&gt;&lt;contributors&gt;&lt;authors&gt;&lt;author&gt;World Health Organization (WHO),&lt;/author&gt;&lt;/authors&gt;&lt;/contributors&gt;&lt;titles&gt;&lt;title&gt;Global Health Expenditure Database: National Health Accounts (NHA)&lt;/title&gt;&lt;/titles&gt;&lt;volume&gt;2013&lt;/volume&gt;&lt;number&gt;March&lt;/number&gt;&lt;dates&gt;&lt;year&gt;2013&lt;/year&gt;&lt;/dates&gt;&lt;urls&gt;&lt;related-urls&gt;&lt;url&gt;http://apps.who.int/nha/database/DataExplorerRegime.aspx&lt;/url&gt;&lt;/related-urls&gt;&lt;/urls&gt;&lt;/record&gt;&lt;/Cite&gt;&lt;/EndNote&gt;</w:instrText>
      </w:r>
      <w:r w:rsidRPr="00AD00D8">
        <w:fldChar w:fldCharType="separate"/>
      </w:r>
      <w:r w:rsidR="00B46CBB">
        <w:rPr>
          <w:noProof/>
        </w:rPr>
        <w:t>[</w:t>
      </w:r>
      <w:hyperlink w:anchor="_ENREF_2" w:tooltip="World Health Organization (WHO), 2013 #167" w:history="1">
        <w:r w:rsidR="00263223">
          <w:rPr>
            <w:noProof/>
          </w:rPr>
          <w:t>2</w:t>
        </w:r>
      </w:hyperlink>
      <w:r w:rsidR="00B46CBB">
        <w:rPr>
          <w:noProof/>
        </w:rPr>
        <w:t>]</w:t>
      </w:r>
      <w:r w:rsidRPr="00AD00D8">
        <w:fldChar w:fldCharType="end"/>
      </w:r>
      <w:r w:rsidRPr="00AD00D8">
        <w:t xml:space="preserve">, WHO National Health </w:t>
      </w:r>
      <w:r w:rsidRPr="00744D0D">
        <w:t>Accounts (NHA),</w:t>
      </w:r>
      <w:r w:rsidRPr="00744D0D">
        <w:fldChar w:fldCharType="begin"/>
      </w:r>
      <w:r w:rsidR="00B46CBB" w:rsidRPr="00744D0D">
        <w:instrText xml:space="preserve"> ADDIN EN.CITE &lt;EndNote&gt;&lt;Cite&gt;&lt;Author&gt;World Health Organization (WHO)&lt;/Author&gt;&lt;Year&gt;2013&lt;/Year&gt;&lt;RecNum&gt;167&lt;/RecNum&gt;&lt;DisplayText&gt;[2]&lt;/DisplayText&gt;&lt;record&gt;&lt;rec-number&gt;167&lt;/rec-number&gt;&lt;foreign-keys&gt;&lt;key app="EN" db-id="vaaa05tf7s502vefz2kvfd0izap5erafd0sa"&gt;167&lt;/key&gt;&lt;/foreign-keys&gt;&lt;ref-type name="Web Page"&gt;12&lt;/ref-type&gt;&lt;contributors&gt;&lt;authors&gt;&lt;author&gt;World Health Organization (WHO),&lt;/author&gt;&lt;/authors&gt;&lt;/contributors&gt;&lt;titles&gt;&lt;title&gt;Global Health Expenditure Database: National Health Accounts (NHA)&lt;/title&gt;&lt;/titles&gt;&lt;volume&gt;2013&lt;/volume&gt;&lt;number&gt;March&lt;/number&gt;&lt;dates&gt;&lt;year&gt;2013&lt;/year&gt;&lt;/dates&gt;&lt;urls&gt;&lt;related-urls&gt;&lt;url&gt;http://apps.who.int/nha/database/DataExplorerRegime.aspx&lt;/url&gt;&lt;/related-urls&gt;&lt;/urls&gt;&lt;/record&gt;&lt;/Cite&gt;&lt;/EndNote&gt;</w:instrText>
      </w:r>
      <w:r w:rsidRPr="00744D0D">
        <w:fldChar w:fldCharType="separate"/>
      </w:r>
      <w:r w:rsidR="00B46CBB" w:rsidRPr="00744D0D">
        <w:rPr>
          <w:noProof/>
        </w:rPr>
        <w:t>[</w:t>
      </w:r>
      <w:hyperlink w:anchor="_ENREF_2" w:tooltip="World Health Organization (WHO), 2013 #167" w:history="1">
        <w:r w:rsidR="00263223" w:rsidRPr="00744D0D">
          <w:rPr>
            <w:noProof/>
          </w:rPr>
          <w:t>2</w:t>
        </w:r>
      </w:hyperlink>
      <w:r w:rsidR="00B46CBB" w:rsidRPr="00744D0D">
        <w:rPr>
          <w:noProof/>
        </w:rPr>
        <w:t>]</w:t>
      </w:r>
      <w:r w:rsidRPr="00744D0D">
        <w:fldChar w:fldCharType="end"/>
      </w:r>
      <w:r w:rsidRPr="00744D0D">
        <w:t xml:space="preserve"> UN data,</w:t>
      </w:r>
      <w:r w:rsidRPr="00744D0D">
        <w:fldChar w:fldCharType="begin"/>
      </w:r>
      <w:r w:rsidR="00B46CBB" w:rsidRPr="00744D0D">
        <w:instrText xml:space="preserve"> ADDIN EN.CITE &lt;EndNote&gt;&lt;Cite&gt;&lt;Author&gt;United Nations (UN) Statistics Division&lt;/Author&gt;&lt;Year&gt;2013&lt;/Year&gt;&lt;RecNum&gt;168&lt;/RecNum&gt;&lt;DisplayText&gt;[3]&lt;/DisplayText&gt;&lt;record&gt;&lt;rec-number&gt;168&lt;/rec-number&gt;&lt;foreign-keys&gt;&lt;key app="EN" db-id="vaaa05tf7s502vefz2kvfd0izap5erafd0sa"&gt;168&lt;/key&gt;&lt;/foreign-keys&gt;&lt;ref-type name="Web Page"&gt;12&lt;/ref-type&gt;&lt;contributors&gt;&lt;authors&gt;&lt;author&gt;United Nations (UN) Statistics Division,&lt;/author&gt;&lt;/authors&gt;&lt;/contributors&gt;&lt;titles&gt;&lt;title&gt;UN Data: A World of Information&lt;/title&gt;&lt;/titles&gt;&lt;volume&gt;2013&lt;/volume&gt;&lt;number&gt;March&lt;/number&gt;&lt;dates&gt;&lt;year&gt;2013&lt;/year&gt;&lt;/dates&gt;&lt;urls&gt;&lt;related-urls&gt;&lt;url&gt;http://data.un.org/Default.aspx&lt;/url&gt;&lt;/related-urls&gt;&lt;/urls&gt;&lt;/record&gt;&lt;/Cite&gt;&lt;/EndNote&gt;</w:instrText>
      </w:r>
      <w:r w:rsidRPr="00744D0D">
        <w:fldChar w:fldCharType="separate"/>
      </w:r>
      <w:r w:rsidR="00B46CBB" w:rsidRPr="00744D0D">
        <w:rPr>
          <w:noProof/>
        </w:rPr>
        <w:t>[</w:t>
      </w:r>
      <w:hyperlink w:anchor="_ENREF_3" w:tooltip="United Nations (UN) Statistics Division, 2013 #168" w:history="1">
        <w:r w:rsidR="00263223" w:rsidRPr="00744D0D">
          <w:rPr>
            <w:noProof/>
          </w:rPr>
          <w:t>3</w:t>
        </w:r>
      </w:hyperlink>
      <w:r w:rsidR="00B46CBB" w:rsidRPr="00744D0D">
        <w:rPr>
          <w:noProof/>
        </w:rPr>
        <w:t>]</w:t>
      </w:r>
      <w:r w:rsidRPr="00744D0D">
        <w:fldChar w:fldCharType="end"/>
      </w:r>
      <w:r w:rsidRPr="00744D0D">
        <w:t xml:space="preserve"> UNDP,</w:t>
      </w:r>
      <w:r w:rsidRPr="00744D0D">
        <w:fldChar w:fldCharType="begin"/>
      </w:r>
      <w:r w:rsidR="00B46CBB" w:rsidRPr="00744D0D">
        <w:instrText xml:space="preserve"> ADDIN EN.CITE &lt;EndNote&gt;&lt;Cite&gt;&lt;Author&gt;United Nations (UN)&lt;/Author&gt;&lt;Year&gt;2013&lt;/Year&gt;&lt;RecNum&gt;169&lt;/RecNum&gt;&lt;DisplayText&gt;[4]&lt;/DisplayText&gt;&lt;record&gt;&lt;rec-number&gt;169&lt;/rec-number&gt;&lt;foreign-keys&gt;&lt;key app="EN" db-id="vaaa05tf7s502vefz2kvfd0izap5erafd0sa"&gt;169&lt;/key&gt;&lt;/foreign-keys&gt;&lt;ref-type name="Web Page"&gt;12&lt;/ref-type&gt;&lt;contributors&gt;&lt;authors&gt;&lt;author&gt;United Nations (UN),&lt;/author&gt;&lt;/authors&gt;&lt;/contributors&gt;&lt;titles&gt;&lt;title&gt;International Human Development Indicators&lt;/title&gt;&lt;/titles&gt;&lt;volume&gt;2013&lt;/volume&gt;&lt;number&gt;March&lt;/number&gt;&lt;dates&gt;&lt;year&gt;2013&lt;/year&gt;&lt;/dates&gt;&lt;urls&gt;&lt;related-urls&gt;&lt;url&gt;http://hdrstats.undp.org/en/indicators/default.html&lt;/url&gt;&lt;/related-urls&gt;&lt;/urls&gt;&lt;/record&gt;&lt;/Cite&gt;&lt;/EndNote&gt;</w:instrText>
      </w:r>
      <w:r w:rsidRPr="00744D0D">
        <w:fldChar w:fldCharType="separate"/>
      </w:r>
      <w:r w:rsidR="00B46CBB" w:rsidRPr="00744D0D">
        <w:rPr>
          <w:noProof/>
        </w:rPr>
        <w:t>[</w:t>
      </w:r>
      <w:hyperlink w:anchor="_ENREF_4" w:tooltip="United Nations (UN), 2013 #169" w:history="1">
        <w:r w:rsidR="00263223" w:rsidRPr="00744D0D">
          <w:rPr>
            <w:noProof/>
          </w:rPr>
          <w:t>4</w:t>
        </w:r>
      </w:hyperlink>
      <w:r w:rsidR="00B46CBB" w:rsidRPr="00744D0D">
        <w:rPr>
          <w:noProof/>
        </w:rPr>
        <w:t>]</w:t>
      </w:r>
      <w:r w:rsidRPr="00744D0D">
        <w:fldChar w:fldCharType="end"/>
      </w:r>
      <w:r w:rsidRPr="00744D0D">
        <w:t xml:space="preserve"> UNICEF’s </w:t>
      </w:r>
      <w:proofErr w:type="spellStart"/>
      <w:r w:rsidRPr="00744D0D">
        <w:t>Childinfo</w:t>
      </w:r>
      <w:proofErr w:type="spellEnd"/>
      <w:r w:rsidRPr="00744D0D">
        <w:t>,</w:t>
      </w:r>
      <w:r w:rsidRPr="00744D0D">
        <w:fldChar w:fldCharType="begin"/>
      </w:r>
      <w:r w:rsidR="00B46CBB" w:rsidRPr="00744D0D">
        <w:instrText xml:space="preserve"> ADDIN EN.CITE &lt;EndNote&gt;&lt;Cite ExcludeYear="1"&gt;&lt;Author&gt;Childinfo United Nations Children&amp;apos;s Fund (UNICEF)&lt;/Author&gt;&lt;Year&gt;2013&lt;/Year&gt;&lt;RecNum&gt;170&lt;/RecNum&gt;&lt;DisplayText&gt;[5]&lt;/DisplayText&gt;&lt;record&gt;&lt;rec-number&gt;170&lt;/rec-number&gt;&lt;foreign-keys&gt;&lt;key app="EN" db-id="vaaa05tf7s502vefz2kvfd0izap5erafd0sa"&gt;170&lt;/key&gt;&lt;/foreign-keys&gt;&lt;ref-type name="Web Page"&gt;12&lt;/ref-type&gt;&lt;contributors&gt;&lt;authors&gt;&lt;author&gt;Childinfo United Nations Children&amp;apos;s Fund (UNICEF),&lt;/author&gt;&lt;/authors&gt;&lt;/contributors&gt;&lt;titles&gt;&lt;title&gt;Monitoring the Situation of Children and Women&lt;/title&gt;&lt;/titles&gt;&lt;pages&gt;Data on the situation of children and women is collected through the Multiple Indicator Cluster Survey (MICS) programme&lt;/pages&gt;&lt;volume&gt;2013&lt;/volume&gt;&lt;number&gt;March&lt;/number&gt;&lt;dates&gt;&lt;year&gt;2013&lt;/year&gt;&lt;/dates&gt;&lt;label&gt;Childinfo&lt;/label&gt;&lt;urls&gt;&lt;related-urls&gt;&lt;url&gt;http://www.childinfo.org/contact.html&lt;/url&gt;&lt;/related-urls&gt;&lt;/urls&gt;&lt;/record&gt;&lt;/Cite&gt;&lt;/EndNote&gt;</w:instrText>
      </w:r>
      <w:r w:rsidRPr="00744D0D">
        <w:fldChar w:fldCharType="separate"/>
      </w:r>
      <w:r w:rsidR="00B46CBB" w:rsidRPr="00744D0D">
        <w:rPr>
          <w:noProof/>
        </w:rPr>
        <w:t>[</w:t>
      </w:r>
      <w:hyperlink w:anchor="_ENREF_5" w:tooltip="Childinfo United Nations Children's Fund (UNICEF), 2013 #170" w:history="1">
        <w:r w:rsidR="00263223" w:rsidRPr="00744D0D">
          <w:rPr>
            <w:noProof/>
          </w:rPr>
          <w:t>5</w:t>
        </w:r>
      </w:hyperlink>
      <w:r w:rsidR="00B46CBB" w:rsidRPr="00744D0D">
        <w:rPr>
          <w:noProof/>
        </w:rPr>
        <w:t>]</w:t>
      </w:r>
      <w:r w:rsidRPr="00744D0D">
        <w:fldChar w:fldCharType="end"/>
      </w:r>
      <w:r w:rsidRPr="00744D0D">
        <w:t xml:space="preserve"> the World Bank </w:t>
      </w:r>
      <w:proofErr w:type="spellStart"/>
      <w:r w:rsidRPr="00744D0D">
        <w:t>DataBank</w:t>
      </w:r>
      <w:proofErr w:type="spellEnd"/>
      <w:r w:rsidRPr="00744D0D">
        <w:t>,</w:t>
      </w:r>
      <w:r w:rsidRPr="00744D0D">
        <w:fldChar w:fldCharType="begin"/>
      </w:r>
      <w:r w:rsidR="00B46CBB" w:rsidRPr="00744D0D">
        <w:instrText xml:space="preserve"> ADDIN EN.CITE &lt;EndNote&gt;&lt;Cite&gt;&lt;Author&gt;World Bank Group&lt;/Author&gt;&lt;Year&gt;2013&lt;/Year&gt;&lt;RecNum&gt;165&lt;/RecNum&gt;&lt;DisplayText&gt;[6]&lt;/DisplayText&gt;&lt;record&gt;&lt;rec-number&gt;165&lt;/rec-number&gt;&lt;foreign-keys&gt;&lt;key app="EN" db-id="vaaa05tf7s502vefz2kvfd0izap5erafd0sa"&gt;165&lt;/key&gt;&lt;/foreign-keys&gt;&lt;ref-type name="Web Page"&gt;12&lt;/ref-type&gt;&lt;contributors&gt;&lt;authors&gt;&lt;author&gt;World Bank Group,&lt;/author&gt;&lt;/authors&gt;&lt;/contributors&gt;&lt;titles&gt;&lt;title&gt;World Bank Data: World Development Indicators&lt;/title&gt;&lt;/titles&gt;&lt;volume&gt;2013&lt;/volume&gt;&lt;number&gt;March&lt;/number&gt;&lt;dates&gt;&lt;year&gt;2013&lt;/year&gt;&lt;/dates&gt;&lt;urls&gt;&lt;related-urls&gt;&lt;url&gt;http://databank.worldbank.org/data/home.aspx&lt;/url&gt;&lt;/related-urls&gt;&lt;/urls&gt;&lt;/record&gt;&lt;/Cite&gt;&lt;/EndNote&gt;</w:instrText>
      </w:r>
      <w:r w:rsidRPr="00744D0D">
        <w:fldChar w:fldCharType="separate"/>
      </w:r>
      <w:r w:rsidR="00B46CBB" w:rsidRPr="00744D0D">
        <w:rPr>
          <w:noProof/>
        </w:rPr>
        <w:t>[</w:t>
      </w:r>
      <w:hyperlink w:anchor="_ENREF_6" w:tooltip="World Bank Group, 2013 #165" w:history="1">
        <w:r w:rsidR="00263223" w:rsidRPr="00744D0D">
          <w:rPr>
            <w:noProof/>
          </w:rPr>
          <w:t>6</w:t>
        </w:r>
      </w:hyperlink>
      <w:r w:rsidR="00B46CBB" w:rsidRPr="00744D0D">
        <w:rPr>
          <w:noProof/>
        </w:rPr>
        <w:t>]</w:t>
      </w:r>
      <w:r w:rsidRPr="00744D0D">
        <w:fldChar w:fldCharType="end"/>
      </w:r>
      <w:r w:rsidRPr="00744D0D">
        <w:t xml:space="preserve"> and Demographic and Health Surveys (DHS).</w:t>
      </w:r>
      <w:r w:rsidRPr="00744D0D">
        <w:fldChar w:fldCharType="begin"/>
      </w:r>
      <w:r w:rsidR="00B46CBB" w:rsidRPr="00744D0D">
        <w:instrText xml:space="preserve"> ADDIN EN.CITE &lt;EndNote&gt;&lt;Cite&gt;&lt;Author&gt;Measure Demographic and Health Surveys (DHS)&lt;/Author&gt;&lt;Year&gt;2013&lt;/Year&gt;&lt;RecNum&gt;171&lt;/RecNum&gt;&lt;DisplayText&gt;[7]&lt;/DisplayText&gt;&lt;record&gt;&lt;rec-number&gt;171&lt;/rec-number&gt;&lt;foreign-keys&gt;&lt;key app="EN" db-id="vaaa05tf7s502vefz2kvfd0izap5erafd0sa"&gt;171&lt;/key&gt;&lt;/foreign-keys&gt;&lt;ref-type name="Web Page"&gt;12&lt;/ref-type&gt;&lt;contributors&gt;&lt;authors&gt;&lt;author&gt;Measure Demographic and Health Surveys (DHS),&lt;/author&gt;&lt;author&gt;USAID From the American People, &lt;/author&gt;&lt;/authors&gt;&lt;/contributors&gt;&lt;titles&gt;&lt;title&gt;STAT Compiler Building Tables with DHS Data&lt;/title&gt;&lt;/titles&gt;&lt;volume&gt;2013&lt;/volume&gt;&lt;number&gt;March&lt;/number&gt;&lt;dates&gt;&lt;year&gt;2013&lt;/year&gt;&lt;/dates&gt;&lt;urls&gt;&lt;related-urls&gt;&lt;url&gt;http://statcompiler.com/&lt;/url&gt;&lt;/related-urls&gt;&lt;/urls&gt;&lt;/record&gt;&lt;/Cite&gt;&lt;/EndNote&gt;</w:instrText>
      </w:r>
      <w:r w:rsidRPr="00744D0D">
        <w:fldChar w:fldCharType="separate"/>
      </w:r>
      <w:r w:rsidR="00B46CBB" w:rsidRPr="00744D0D">
        <w:rPr>
          <w:noProof/>
        </w:rPr>
        <w:t>[</w:t>
      </w:r>
      <w:hyperlink w:anchor="_ENREF_7" w:tooltip="Measure Demographic and Health Surveys (DHS), 2013 #171" w:history="1">
        <w:r w:rsidR="00263223" w:rsidRPr="00744D0D">
          <w:rPr>
            <w:noProof/>
          </w:rPr>
          <w:t>7</w:t>
        </w:r>
      </w:hyperlink>
      <w:r w:rsidR="00B46CBB" w:rsidRPr="00744D0D">
        <w:rPr>
          <w:noProof/>
        </w:rPr>
        <w:t>]</w:t>
      </w:r>
      <w:r w:rsidRPr="00744D0D">
        <w:fldChar w:fldCharType="end"/>
      </w:r>
    </w:p>
    <w:tbl>
      <w:tblPr>
        <w:tblW w:w="0" w:type="auto"/>
        <w:tblCellMar>
          <w:left w:w="0" w:type="dxa"/>
          <w:right w:w="0" w:type="dxa"/>
        </w:tblCellMar>
        <w:tblLook w:val="04A0" w:firstRow="1" w:lastRow="0" w:firstColumn="1" w:lastColumn="0" w:noHBand="0" w:noVBand="1"/>
      </w:tblPr>
      <w:tblGrid>
        <w:gridCol w:w="4178"/>
        <w:gridCol w:w="3956"/>
        <w:gridCol w:w="950"/>
      </w:tblGrid>
      <w:tr w:rsidR="00744D0D" w14:paraId="416CEBE1" w14:textId="77777777" w:rsidTr="00744D0D">
        <w:tc>
          <w:tcPr>
            <w:tcW w:w="4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22E42" w14:textId="77777777" w:rsidR="00744D0D" w:rsidRPr="00744D0D" w:rsidRDefault="00744D0D">
            <w:pPr>
              <w:jc w:val="both"/>
              <w:rPr>
                <w:rFonts w:ascii="Calibri" w:hAnsi="Calibri"/>
              </w:rPr>
            </w:pPr>
            <w:r w:rsidRPr="00744D0D">
              <w:t>Source</w:t>
            </w:r>
          </w:p>
        </w:tc>
        <w:tc>
          <w:tcPr>
            <w:tcW w:w="3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57492" w14:textId="77777777" w:rsidR="00744D0D" w:rsidRPr="00744D0D" w:rsidRDefault="00744D0D">
            <w:pPr>
              <w:jc w:val="both"/>
              <w:rPr>
                <w:rFonts w:ascii="Calibri" w:hAnsi="Calibri"/>
              </w:rPr>
            </w:pPr>
            <w:r w:rsidRPr="00744D0D">
              <w:t>URL</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5A94E" w14:textId="77777777" w:rsidR="00744D0D" w:rsidRDefault="00744D0D">
            <w:pPr>
              <w:jc w:val="both"/>
              <w:rPr>
                <w:rFonts w:ascii="Calibri" w:hAnsi="Calibri"/>
              </w:rPr>
            </w:pPr>
            <w:r w:rsidRPr="00744D0D">
              <w:t>Citation</w:t>
            </w:r>
          </w:p>
        </w:tc>
      </w:tr>
      <w:tr w:rsidR="00744D0D" w14:paraId="637DD773"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1FFB7" w14:textId="77777777" w:rsidR="00744D0D" w:rsidRDefault="00744D0D">
            <w:pPr>
              <w:jc w:val="both"/>
              <w:rPr>
                <w:rFonts w:ascii="Calibri" w:hAnsi="Calibri"/>
              </w:rPr>
            </w:pPr>
            <w:r>
              <w:t>Institute for Health Metrics and Evaluation (IHME)</w:t>
            </w:r>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03DBD551" w14:textId="77777777" w:rsidR="00744D0D" w:rsidRDefault="000C449C">
            <w:pPr>
              <w:jc w:val="both"/>
              <w:rPr>
                <w:rFonts w:ascii="Calibri" w:hAnsi="Calibri"/>
                <w:highlight w:val="yellow"/>
              </w:rPr>
            </w:pPr>
            <w:hyperlink r:id="rId8" w:history="1">
              <w:r w:rsidR="00744D0D">
                <w:rPr>
                  <w:rStyle w:val="Hyperlink"/>
                </w:rPr>
                <w:t>http://ghdx.healthdata.org/ihme_data</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239342FE" w14:textId="77777777" w:rsidR="00744D0D" w:rsidRDefault="00744D0D">
            <w:pPr>
              <w:jc w:val="both"/>
              <w:rPr>
                <w:rFonts w:ascii="Calibri" w:hAnsi="Calibri"/>
              </w:rPr>
            </w:pPr>
            <w:r>
              <w:t>[</w:t>
            </w:r>
            <w:hyperlink w:anchor="_ENREF_1" w:tooltip="Institute for Health Metrics and Evaluation (IHME), 2013 #276" w:history="1">
              <w:r>
                <w:rPr>
                  <w:rStyle w:val="Hyperlink"/>
                </w:rPr>
                <w:t>1</w:t>
              </w:r>
            </w:hyperlink>
            <w:r>
              <w:t xml:space="preserve">] </w:t>
            </w:r>
          </w:p>
        </w:tc>
      </w:tr>
      <w:tr w:rsidR="00744D0D" w14:paraId="6AD50803"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F3410" w14:textId="77777777" w:rsidR="00744D0D" w:rsidRDefault="00744D0D">
            <w:pPr>
              <w:jc w:val="both"/>
              <w:rPr>
                <w:rFonts w:ascii="Calibri" w:hAnsi="Calibri"/>
              </w:rPr>
            </w:pPr>
            <w:r>
              <w:t>WHO Global Health Observatory</w:t>
            </w:r>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5B3D291F" w14:textId="77777777" w:rsidR="00744D0D" w:rsidRDefault="000C449C">
            <w:pPr>
              <w:jc w:val="both"/>
              <w:rPr>
                <w:rFonts w:ascii="Calibri" w:hAnsi="Calibri"/>
                <w:highlight w:val="yellow"/>
              </w:rPr>
            </w:pPr>
            <w:hyperlink r:id="rId9" w:history="1">
              <w:r w:rsidR="00744D0D">
                <w:rPr>
                  <w:rStyle w:val="Hyperlink"/>
                </w:rPr>
                <w:t>http://www.who.int/gho/database/en/</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545F65E6" w14:textId="77777777" w:rsidR="00744D0D" w:rsidRDefault="00744D0D">
            <w:pPr>
              <w:jc w:val="both"/>
              <w:rPr>
                <w:rFonts w:ascii="Calibri" w:hAnsi="Calibri"/>
              </w:rPr>
            </w:pPr>
            <w:r>
              <w:t>[</w:t>
            </w:r>
            <w:hyperlink w:anchor="_ENREF_2" w:tooltip="World Health Organization (WHO), 2013 #167" w:history="1">
              <w:r>
                <w:rPr>
                  <w:rStyle w:val="Hyperlink"/>
                </w:rPr>
                <w:t>2</w:t>
              </w:r>
            </w:hyperlink>
            <w:r>
              <w:t>]</w:t>
            </w:r>
          </w:p>
        </w:tc>
      </w:tr>
      <w:tr w:rsidR="00744D0D" w14:paraId="62B768B8"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144AB" w14:textId="77777777" w:rsidR="00744D0D" w:rsidRDefault="00744D0D">
            <w:pPr>
              <w:jc w:val="both"/>
              <w:rPr>
                <w:rFonts w:ascii="Calibri" w:hAnsi="Calibri"/>
              </w:rPr>
            </w:pPr>
            <w:r>
              <w:t>WHO National Health Accounts (NHA)</w:t>
            </w:r>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0AD4050E" w14:textId="77777777" w:rsidR="00744D0D" w:rsidRDefault="000C449C">
            <w:pPr>
              <w:jc w:val="both"/>
              <w:rPr>
                <w:rFonts w:ascii="Calibri" w:hAnsi="Calibri"/>
                <w:highlight w:val="yellow"/>
              </w:rPr>
            </w:pPr>
            <w:hyperlink r:id="rId10" w:history="1">
              <w:r w:rsidR="00744D0D">
                <w:rPr>
                  <w:rStyle w:val="Hyperlink"/>
                </w:rPr>
                <w:t>http://apps.who.int/nha/database</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02D28EA8" w14:textId="77777777" w:rsidR="00744D0D" w:rsidRDefault="00744D0D">
            <w:pPr>
              <w:jc w:val="both"/>
              <w:rPr>
                <w:rFonts w:ascii="Calibri" w:hAnsi="Calibri"/>
              </w:rPr>
            </w:pPr>
            <w:r>
              <w:t>[</w:t>
            </w:r>
            <w:hyperlink w:anchor="_ENREF_2" w:tooltip="World Health Organization (WHO), 2013 #167" w:history="1">
              <w:r>
                <w:rPr>
                  <w:rStyle w:val="Hyperlink"/>
                </w:rPr>
                <w:t>2</w:t>
              </w:r>
            </w:hyperlink>
            <w:r>
              <w:t xml:space="preserve">] </w:t>
            </w:r>
          </w:p>
        </w:tc>
      </w:tr>
      <w:tr w:rsidR="00744D0D" w14:paraId="44E08D72"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942B3" w14:textId="77777777" w:rsidR="00744D0D" w:rsidRDefault="00744D0D">
            <w:pPr>
              <w:jc w:val="both"/>
              <w:rPr>
                <w:rFonts w:ascii="Calibri" w:hAnsi="Calibri"/>
              </w:rPr>
            </w:pPr>
            <w:r>
              <w:t>UN data</w:t>
            </w:r>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7CC08E10" w14:textId="77777777" w:rsidR="00744D0D" w:rsidRDefault="000C449C">
            <w:pPr>
              <w:jc w:val="both"/>
              <w:rPr>
                <w:rFonts w:ascii="Calibri" w:hAnsi="Calibri"/>
                <w:highlight w:val="yellow"/>
              </w:rPr>
            </w:pPr>
            <w:hyperlink r:id="rId11" w:history="1">
              <w:r w:rsidR="00744D0D">
                <w:rPr>
                  <w:rStyle w:val="Hyperlink"/>
                </w:rPr>
                <w:t>http://data.un.org/</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0216EF22" w14:textId="77777777" w:rsidR="00744D0D" w:rsidRDefault="00744D0D">
            <w:pPr>
              <w:jc w:val="both"/>
              <w:rPr>
                <w:rFonts w:ascii="Calibri" w:hAnsi="Calibri"/>
              </w:rPr>
            </w:pPr>
            <w:r>
              <w:t>[</w:t>
            </w:r>
            <w:hyperlink w:anchor="_ENREF_3" w:tooltip="United Nations (UN) Statistics Division, 2013 #168" w:history="1">
              <w:r>
                <w:rPr>
                  <w:rStyle w:val="Hyperlink"/>
                </w:rPr>
                <w:t>3</w:t>
              </w:r>
            </w:hyperlink>
            <w:r>
              <w:t xml:space="preserve">] </w:t>
            </w:r>
          </w:p>
        </w:tc>
      </w:tr>
      <w:tr w:rsidR="00744D0D" w14:paraId="1CCB14AE"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F1AB1" w14:textId="77777777" w:rsidR="00744D0D" w:rsidRDefault="00744D0D">
            <w:pPr>
              <w:jc w:val="both"/>
              <w:rPr>
                <w:rFonts w:ascii="Calibri" w:hAnsi="Calibri"/>
              </w:rPr>
            </w:pPr>
            <w:r>
              <w:t>UNDP</w:t>
            </w:r>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73CFE5B1" w14:textId="77777777" w:rsidR="00744D0D" w:rsidRDefault="000C449C">
            <w:pPr>
              <w:jc w:val="both"/>
              <w:rPr>
                <w:rFonts w:ascii="Calibri" w:hAnsi="Calibri"/>
                <w:highlight w:val="yellow"/>
              </w:rPr>
            </w:pPr>
            <w:hyperlink r:id="rId12" w:history="1">
              <w:r w:rsidR="00744D0D">
                <w:rPr>
                  <w:rStyle w:val="Hyperlink"/>
                </w:rPr>
                <w:t>http://hdr.undp.org/en/data</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09ABBF00" w14:textId="77777777" w:rsidR="00744D0D" w:rsidRDefault="00744D0D">
            <w:pPr>
              <w:jc w:val="both"/>
              <w:rPr>
                <w:rFonts w:ascii="Calibri" w:hAnsi="Calibri"/>
              </w:rPr>
            </w:pPr>
            <w:r>
              <w:t>[</w:t>
            </w:r>
            <w:hyperlink w:anchor="_ENREF_4" w:tooltip="United Nations (UN), 2013 #169" w:history="1">
              <w:r>
                <w:rPr>
                  <w:rStyle w:val="Hyperlink"/>
                </w:rPr>
                <w:t>4</w:t>
              </w:r>
            </w:hyperlink>
            <w:r>
              <w:t xml:space="preserve">] </w:t>
            </w:r>
          </w:p>
        </w:tc>
      </w:tr>
      <w:tr w:rsidR="00744D0D" w14:paraId="35588D72"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51B19" w14:textId="77777777" w:rsidR="00744D0D" w:rsidRDefault="00744D0D">
            <w:pPr>
              <w:jc w:val="both"/>
              <w:rPr>
                <w:rFonts w:ascii="Calibri" w:hAnsi="Calibri"/>
              </w:rPr>
            </w:pPr>
            <w:r>
              <w:t xml:space="preserve">UNICEF’s </w:t>
            </w:r>
            <w:proofErr w:type="spellStart"/>
            <w:r>
              <w:t>Childinfo</w:t>
            </w:r>
            <w:proofErr w:type="spellEnd"/>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314D574A" w14:textId="77777777" w:rsidR="00744D0D" w:rsidRDefault="000C449C">
            <w:pPr>
              <w:jc w:val="both"/>
              <w:rPr>
                <w:rFonts w:ascii="Calibri" w:hAnsi="Calibri"/>
                <w:highlight w:val="yellow"/>
              </w:rPr>
            </w:pPr>
            <w:hyperlink r:id="rId13" w:history="1">
              <w:r w:rsidR="00744D0D">
                <w:rPr>
                  <w:rStyle w:val="Hyperlink"/>
                </w:rPr>
                <w:t>http://data.unicef.org/</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7F1A771D" w14:textId="77777777" w:rsidR="00744D0D" w:rsidRDefault="00744D0D">
            <w:pPr>
              <w:jc w:val="both"/>
              <w:rPr>
                <w:rFonts w:ascii="Calibri" w:hAnsi="Calibri"/>
              </w:rPr>
            </w:pPr>
            <w:r>
              <w:t>[</w:t>
            </w:r>
            <w:hyperlink w:anchor="_ENREF_5" w:tooltip="Childinfo United Nations Children's Fund (UNICEF), 2013 #170" w:history="1">
              <w:r>
                <w:rPr>
                  <w:rStyle w:val="Hyperlink"/>
                </w:rPr>
                <w:t>5</w:t>
              </w:r>
            </w:hyperlink>
            <w:r>
              <w:t xml:space="preserve">] </w:t>
            </w:r>
          </w:p>
        </w:tc>
      </w:tr>
      <w:tr w:rsidR="00744D0D" w14:paraId="35BB9C35"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71646" w14:textId="77777777" w:rsidR="00744D0D" w:rsidRDefault="00744D0D">
            <w:pPr>
              <w:jc w:val="both"/>
              <w:rPr>
                <w:rFonts w:ascii="Calibri" w:hAnsi="Calibri"/>
              </w:rPr>
            </w:pPr>
            <w:r>
              <w:t xml:space="preserve">World Bank </w:t>
            </w:r>
            <w:proofErr w:type="spellStart"/>
            <w:r>
              <w:t>DataBank</w:t>
            </w:r>
            <w:proofErr w:type="spellEnd"/>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595E3652" w14:textId="77777777" w:rsidR="00744D0D" w:rsidRDefault="000C449C">
            <w:pPr>
              <w:jc w:val="both"/>
              <w:rPr>
                <w:rFonts w:ascii="Calibri" w:hAnsi="Calibri"/>
                <w:highlight w:val="yellow"/>
              </w:rPr>
            </w:pPr>
            <w:hyperlink r:id="rId14" w:history="1">
              <w:r w:rsidR="00744D0D">
                <w:rPr>
                  <w:rStyle w:val="Hyperlink"/>
                </w:rPr>
                <w:t>http://data.worldbank.org/</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0E56DF27" w14:textId="77777777" w:rsidR="00744D0D" w:rsidRDefault="00744D0D">
            <w:pPr>
              <w:jc w:val="both"/>
              <w:rPr>
                <w:rFonts w:ascii="Calibri" w:hAnsi="Calibri"/>
              </w:rPr>
            </w:pPr>
            <w:r>
              <w:t>[</w:t>
            </w:r>
            <w:hyperlink w:anchor="_ENREF_6" w:tooltip="World Bank Group, 2013 #165" w:history="1">
              <w:r>
                <w:rPr>
                  <w:rStyle w:val="Hyperlink"/>
                </w:rPr>
                <w:t>6</w:t>
              </w:r>
            </w:hyperlink>
            <w:r>
              <w:t>]</w:t>
            </w:r>
          </w:p>
        </w:tc>
      </w:tr>
      <w:tr w:rsidR="00744D0D" w14:paraId="43B62BEF" w14:textId="77777777" w:rsidTr="00744D0D">
        <w:tc>
          <w:tcPr>
            <w:tcW w:w="4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46A34" w14:textId="77777777" w:rsidR="00744D0D" w:rsidRDefault="00744D0D">
            <w:pPr>
              <w:jc w:val="both"/>
              <w:rPr>
                <w:rFonts w:ascii="Calibri" w:hAnsi="Calibri"/>
              </w:rPr>
            </w:pPr>
            <w:r>
              <w:t>Demographic and Health Surveys (DHS)</w:t>
            </w:r>
          </w:p>
        </w:tc>
        <w:tc>
          <w:tcPr>
            <w:tcW w:w="3956" w:type="dxa"/>
            <w:tcBorders>
              <w:top w:val="nil"/>
              <w:left w:val="nil"/>
              <w:bottom w:val="single" w:sz="8" w:space="0" w:color="auto"/>
              <w:right w:val="single" w:sz="8" w:space="0" w:color="auto"/>
            </w:tcBorders>
            <w:tcMar>
              <w:top w:w="0" w:type="dxa"/>
              <w:left w:w="108" w:type="dxa"/>
              <w:bottom w:w="0" w:type="dxa"/>
              <w:right w:w="108" w:type="dxa"/>
            </w:tcMar>
            <w:hideMark/>
          </w:tcPr>
          <w:p w14:paraId="1C4B3BA3" w14:textId="77777777" w:rsidR="00744D0D" w:rsidRDefault="000C449C">
            <w:pPr>
              <w:jc w:val="both"/>
              <w:rPr>
                <w:rFonts w:ascii="Calibri" w:hAnsi="Calibri"/>
                <w:highlight w:val="yellow"/>
              </w:rPr>
            </w:pPr>
            <w:hyperlink r:id="rId15" w:history="1">
              <w:r w:rsidR="00744D0D">
                <w:rPr>
                  <w:rStyle w:val="Hyperlink"/>
                </w:rPr>
                <w:t>http://dhsprogram.com/data/</w:t>
              </w:r>
            </w:hyperlink>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14:paraId="0D3BA1AD" w14:textId="77777777" w:rsidR="00744D0D" w:rsidRDefault="00744D0D">
            <w:pPr>
              <w:jc w:val="both"/>
              <w:rPr>
                <w:rFonts w:ascii="Calibri" w:hAnsi="Calibri"/>
              </w:rPr>
            </w:pPr>
            <w:r>
              <w:t>[</w:t>
            </w:r>
            <w:hyperlink w:anchor="_ENREF_7" w:tooltip="Measure Demographic and Health Surveys (DHS), 2013 #171" w:history="1">
              <w:r>
                <w:rPr>
                  <w:rStyle w:val="Hyperlink"/>
                </w:rPr>
                <w:t>7</w:t>
              </w:r>
            </w:hyperlink>
            <w:r>
              <w:t>]</w:t>
            </w:r>
          </w:p>
        </w:tc>
      </w:tr>
    </w:tbl>
    <w:p w14:paraId="5EB5A844" w14:textId="77777777" w:rsidR="00FF0E32" w:rsidRPr="00027E7A" w:rsidRDefault="00FF0E32" w:rsidP="000D2B1D">
      <w:pPr>
        <w:jc w:val="both"/>
      </w:pPr>
    </w:p>
    <w:p w14:paraId="7A05111E" w14:textId="77777777" w:rsidR="00F30679" w:rsidRPr="00E81562" w:rsidRDefault="00F30679" w:rsidP="000D2B1D">
      <w:pPr>
        <w:jc w:val="both"/>
        <w:rPr>
          <w:b/>
          <w:sz w:val="28"/>
          <w:szCs w:val="28"/>
        </w:rPr>
      </w:pPr>
      <w:r w:rsidRPr="00E81562">
        <w:rPr>
          <w:b/>
          <w:sz w:val="28"/>
          <w:szCs w:val="28"/>
        </w:rPr>
        <w:t xml:space="preserve">Time </w:t>
      </w:r>
      <w:r w:rsidR="00514A1A" w:rsidRPr="00E81562">
        <w:rPr>
          <w:b/>
          <w:sz w:val="28"/>
          <w:szCs w:val="28"/>
        </w:rPr>
        <w:t>p</w:t>
      </w:r>
      <w:r w:rsidRPr="00E81562">
        <w:rPr>
          <w:b/>
          <w:sz w:val="28"/>
          <w:szCs w:val="28"/>
        </w:rPr>
        <w:t>eriods</w:t>
      </w:r>
    </w:p>
    <w:p w14:paraId="2F6E92A0" w14:textId="77777777" w:rsidR="00F30679" w:rsidRPr="00FF0E32" w:rsidRDefault="00F30679" w:rsidP="000D2B1D">
      <w:pPr>
        <w:jc w:val="both"/>
      </w:pPr>
      <w:r>
        <w:t xml:space="preserve">We examined the decline in U5MR </w:t>
      </w:r>
      <w:r w:rsidR="006F144F">
        <w:t xml:space="preserve">and MMR from </w:t>
      </w:r>
      <w:r>
        <w:t>1990-2010</w:t>
      </w:r>
      <w:r w:rsidRPr="00FF0E32">
        <w:t xml:space="preserve">.  </w:t>
      </w:r>
    </w:p>
    <w:p w14:paraId="3FFBDF2A" w14:textId="77777777" w:rsidR="00F30679" w:rsidRPr="00FF0E32" w:rsidRDefault="00F30679" w:rsidP="000D2B1D">
      <w:pPr>
        <w:jc w:val="both"/>
      </w:pPr>
    </w:p>
    <w:p w14:paraId="3CAD1C55" w14:textId="77777777" w:rsidR="00F30679" w:rsidRPr="00E81562" w:rsidRDefault="00F30679" w:rsidP="000D2B1D">
      <w:pPr>
        <w:jc w:val="both"/>
        <w:rPr>
          <w:b/>
          <w:sz w:val="28"/>
          <w:szCs w:val="28"/>
        </w:rPr>
      </w:pPr>
      <w:r w:rsidRPr="00E81562">
        <w:rPr>
          <w:b/>
          <w:sz w:val="28"/>
          <w:szCs w:val="28"/>
        </w:rPr>
        <w:t>Selection of countries</w:t>
      </w:r>
    </w:p>
    <w:p w14:paraId="5824CD0F" w14:textId="77777777" w:rsidR="00F30679" w:rsidRDefault="00F30679" w:rsidP="000D2B1D">
      <w:pPr>
        <w:jc w:val="both"/>
      </w:pPr>
      <w:r w:rsidRPr="00FF0E32">
        <w:t xml:space="preserve">Analysis was confined to the 193 UN member states plus the Occupied Palestinian Territories. Countries were excluded from </w:t>
      </w:r>
      <w:r w:rsidR="006F144F">
        <w:t xml:space="preserve">each </w:t>
      </w:r>
      <w:r w:rsidRPr="00FF0E32">
        <w:t xml:space="preserve">analysis if they had no reported values for GDP or </w:t>
      </w:r>
      <w:r w:rsidR="006F144F">
        <w:t>the outcome variable in question from</w:t>
      </w:r>
      <w:r w:rsidRPr="00FF0E32">
        <w:t xml:space="preserve"> 1990-2010. We also excluded all countries classified as high-income by their 2000 GDP per capita (defined as $9,266 </w:t>
      </w:r>
      <w:r w:rsidRPr="00FF0E32">
        <w:fldChar w:fldCharType="begin"/>
      </w:r>
      <w:r w:rsidR="00B46CBB">
        <w:instrText xml:space="preserve"> ADDIN EN.CITE &lt;EndNote&gt;&lt;Cite&gt;&lt;Author&gt;Bank&lt;/Author&gt;&lt;Year&gt;2001&lt;/Year&gt;&lt;RecNum&gt;190&lt;/RecNum&gt;&lt;DisplayText&gt;[8]&lt;/DisplayText&gt;&lt;record&gt;&lt;rec-number&gt;190&lt;/rec-number&gt;&lt;foreign-keys&gt;&lt;key app="EN" db-id="vaaa05tf7s502vefz2kvfd0izap5erafd0sa"&gt;190&lt;/key&gt;&lt;/foreign-keys&gt;&lt;ref-type name="Book"&gt;6&lt;/ref-type&gt;&lt;contributors&gt;&lt;authors&gt;&lt;author&gt;The World Bank,&lt;/author&gt;&lt;/authors&gt;&lt;/contributors&gt;&lt;titles&gt;&lt;title&gt;World Development Report 2002: Building Institutions for Markets&lt;/title&gt;&lt;/titles&gt;&lt;dates&gt;&lt;year&gt;2001&lt;/year&gt;&lt;/dates&gt;&lt;pub-location&gt;USA &lt;/pub-location&gt;&lt;publisher&gt; World Bank; Oxford University Press &lt;/publisher&gt;&lt;isbn&gt;978-0-19-521607-3&lt;/isbn&gt;&lt;label&gt;The World Bank,&lt;/label&gt;&lt;urls&gt;&lt;related-urls&gt;&lt;url&gt;http://econ.worldbank.org/wdr/&lt;/url&gt;&lt;/related-urls&gt;&lt;/urls&gt;&lt;/record&gt;&lt;/Cite&gt;&lt;/EndNote&gt;</w:instrText>
      </w:r>
      <w:r w:rsidRPr="00FF0E32">
        <w:fldChar w:fldCharType="separate"/>
      </w:r>
      <w:r w:rsidR="00B46CBB">
        <w:rPr>
          <w:noProof/>
        </w:rPr>
        <w:t>[</w:t>
      </w:r>
      <w:hyperlink w:anchor="_ENREF_8" w:tooltip="The World Bank, 2001 #190" w:history="1">
        <w:r w:rsidR="00263223">
          <w:rPr>
            <w:noProof/>
          </w:rPr>
          <w:t>8</w:t>
        </w:r>
      </w:hyperlink>
      <w:r w:rsidR="00B46CBB">
        <w:rPr>
          <w:noProof/>
        </w:rPr>
        <w:t>]</w:t>
      </w:r>
      <w:r w:rsidRPr="00FF0E32">
        <w:fldChar w:fldCharType="end"/>
      </w:r>
      <w:r w:rsidRPr="00FF0E32">
        <w:t>  in 2000 US dollars) from the analysis.  These criteria left 14</w:t>
      </w:r>
      <w:r w:rsidR="006F144F">
        <w:t>6</w:t>
      </w:r>
      <w:r w:rsidRPr="00FF0E32">
        <w:t xml:space="preserve"> countries eligible for the analysis. Countries were grouped in sub-regions as defined by the UN statistics division.</w:t>
      </w:r>
      <w:r w:rsidRPr="00FF0E32">
        <w:fldChar w:fldCharType="begin"/>
      </w:r>
      <w:r w:rsidR="00B46CBB">
        <w:instrText xml:space="preserve"> ADDIN EN.CITE &lt;EndNote&gt;&lt;Cite&gt;&lt;Author&gt;United Nations (UN) Statistics Division&lt;/Author&gt;&lt;Year&gt;2012&lt;/Year&gt;&lt;RecNum&gt;187&lt;/RecNum&gt;&lt;DisplayText&gt;[9]&lt;/DisplayText&gt;&lt;record&gt;&lt;rec-number&gt;187&lt;/rec-number&gt;&lt;foreign-keys&gt;&lt;key app="EN" db-id="vaaa05tf7s502vefz2kvfd0izap5erafd0sa"&gt;187&lt;/key&gt;&lt;/foreign-keys&gt;&lt;ref-type name="Web Page"&gt;12&lt;/ref-type&gt;&lt;contributors&gt;&lt;authors&gt;&lt;author&gt;United Nations (UN) Statistics Division,&lt;/author&gt;&lt;/authors&gt;&lt;/contributors&gt;&lt;titles&gt;&lt;title&gt;Composition of Macro Geographical (Continental) Regions, Geographical Sub-Regions, and Selected Economic and Other Groupings &lt;/title&gt;&lt;/titles&gt;&lt;volume&gt;2013&lt;/volume&gt;&lt;number&gt;May&lt;/number&gt;&lt;dates&gt;&lt;year&gt;2012&lt;/year&gt;&lt;/dates&gt;&lt;label&gt;UN&lt;/label&gt;&lt;urls&gt;&lt;related-urls&gt;&lt;url&gt;http://unstats.un.org/unsd/methods/m49/m49regin.htm&lt;/url&gt;&lt;/related-urls&gt;&lt;/urls&gt;&lt;/record&gt;&lt;/Cite&gt;&lt;/EndNote&gt;</w:instrText>
      </w:r>
      <w:r w:rsidRPr="00FF0E32">
        <w:fldChar w:fldCharType="separate"/>
      </w:r>
      <w:r w:rsidR="00B46CBB">
        <w:rPr>
          <w:noProof/>
        </w:rPr>
        <w:t>[</w:t>
      </w:r>
      <w:hyperlink w:anchor="_ENREF_9" w:tooltip="United Nations (UN) Statistics Division, 2012 #187" w:history="1">
        <w:r w:rsidR="00263223">
          <w:rPr>
            <w:noProof/>
          </w:rPr>
          <w:t>9</w:t>
        </w:r>
      </w:hyperlink>
      <w:r w:rsidR="00B46CBB">
        <w:rPr>
          <w:noProof/>
        </w:rPr>
        <w:t>]</w:t>
      </w:r>
      <w:r w:rsidRPr="00FF0E32">
        <w:fldChar w:fldCharType="end"/>
      </w:r>
    </w:p>
    <w:p w14:paraId="16DB8CAC" w14:textId="77777777" w:rsidR="00491CD3" w:rsidRDefault="00491CD3" w:rsidP="000D2B1D">
      <w:pPr>
        <w:jc w:val="both"/>
      </w:pPr>
    </w:p>
    <w:p w14:paraId="7FB05C40" w14:textId="77777777" w:rsidR="00491CD3" w:rsidRPr="00E81562" w:rsidRDefault="00491CD3" w:rsidP="000D2B1D">
      <w:pPr>
        <w:jc w:val="both"/>
        <w:rPr>
          <w:b/>
          <w:sz w:val="28"/>
          <w:szCs w:val="28"/>
        </w:rPr>
      </w:pPr>
      <w:r w:rsidRPr="00E81562">
        <w:rPr>
          <w:b/>
          <w:sz w:val="28"/>
          <w:szCs w:val="28"/>
        </w:rPr>
        <w:t xml:space="preserve">Dependent </w:t>
      </w:r>
      <w:r w:rsidR="00514A1A" w:rsidRPr="00E81562">
        <w:rPr>
          <w:b/>
          <w:sz w:val="28"/>
          <w:szCs w:val="28"/>
        </w:rPr>
        <w:t>v</w:t>
      </w:r>
      <w:r w:rsidRPr="00E81562">
        <w:rPr>
          <w:b/>
          <w:sz w:val="28"/>
          <w:szCs w:val="28"/>
        </w:rPr>
        <w:t>ariable</w:t>
      </w:r>
      <w:r w:rsidR="00E83667" w:rsidRPr="00E81562">
        <w:rPr>
          <w:b/>
          <w:sz w:val="28"/>
          <w:szCs w:val="28"/>
        </w:rPr>
        <w:t xml:space="preserve"> and problems with modeled data</w:t>
      </w:r>
    </w:p>
    <w:p w14:paraId="2BD0052D" w14:textId="4D5A6357" w:rsidR="00491CD3" w:rsidRDefault="00763D48" w:rsidP="000D2B1D">
      <w:pPr>
        <w:jc w:val="both"/>
      </w:pPr>
      <w:r w:rsidRPr="00EC42AE">
        <w:lastRenderedPageBreak/>
        <w:t xml:space="preserve">U5MR estimates from the </w:t>
      </w:r>
      <w:r w:rsidR="00E0311F">
        <w:t xml:space="preserve">Interagency Group for Child Mortality Estimation (IGME) </w:t>
      </w:r>
      <w:r w:rsidRPr="00EC42AE">
        <w:fldChar w:fldCharType="begin"/>
      </w:r>
      <w:r w:rsidR="00B46CBB" w:rsidRPr="00EC42AE">
        <w:instrText xml:space="preserve"> ADDIN EN.CITE &lt;EndNote&gt;&lt;Cite&gt;&lt;Author&gt;Rajaratnam&lt;/Author&gt;&lt;Year&gt;2010&lt;/Year&gt;&lt;RecNum&gt;277&lt;/RecNum&gt;&lt;DisplayText&gt;[10]&lt;/DisplayText&gt;&lt;record&gt;&lt;rec-number&gt;277&lt;/rec-number&gt;&lt;foreign-keys&gt;&lt;key app="EN" db-id="vaaa05tf7s502vefz2kvfd0izap5erafd0sa"&gt;277&lt;/key&gt;&lt;/foreign-keys&gt;&lt;ref-type name="Journal Article"&gt;17&lt;/ref-type&gt;&lt;contributors&gt;&lt;authors&gt;&lt;author&gt;Rajaratnam, Julie Knoll&lt;/author&gt;&lt;author&gt;Marcus, Jake R.&lt;/author&gt;&lt;author&gt;Flaxman, Abraham D.&lt;/author&gt;&lt;author&gt;Wang, Haidong&lt;/author&gt;&lt;author&gt;Levin-Rector, Alison&lt;/author&gt;&lt;author&gt;Dwyer, Laura&lt;/author&gt;&lt;author&gt;Costa, Megan&lt;/author&gt;&lt;author&gt;Lopez, Alan D.&lt;/author&gt;&lt;author&gt;Murray, Christopher J. L.&lt;/author&gt;&lt;/authors&gt;&lt;/contributors&gt;&lt;titles&gt;&lt;title&gt;Neonatal, postneonatal, childhood, and under-5 mortality for 187 countries, 1970-2010: a systematic analysis of progress towards Millennium Development Goal 4&lt;/title&gt;&lt;secondary-title&gt;The Lancet&lt;/secondary-title&gt;&lt;/titles&gt;&lt;periodical&gt;&lt;full-title&gt;The Lancet&lt;/full-title&gt;&lt;/periodical&gt;&lt;pages&gt;1988-2008&lt;/pages&gt;&lt;volume&gt;375&lt;/volume&gt;&lt;number&gt;9730&lt;/number&gt;&lt;dates&gt;&lt;year&gt;2010&lt;/year&gt;&lt;/dates&gt;&lt;isbn&gt;0140-6736&lt;/isbn&gt;&lt;label&gt;Rajaratnam et al&lt;/label&gt;&lt;urls&gt;&lt;related-urls&gt;&lt;url&gt;http://linkinghub.elsevier.com/retrieve/pii/S0140673610607039&lt;/url&gt;&lt;/related-urls&gt;&lt;/urls&gt;&lt;/record&gt;&lt;/Cite&gt;&lt;/EndNote&gt;</w:instrText>
      </w:r>
      <w:r w:rsidRPr="00EC42AE">
        <w:fldChar w:fldCharType="separate"/>
      </w:r>
      <w:r w:rsidR="00B46CBB" w:rsidRPr="00EC42AE">
        <w:rPr>
          <w:noProof/>
        </w:rPr>
        <w:t>[</w:t>
      </w:r>
      <w:hyperlink w:anchor="_ENREF_10" w:tooltip="Rajaratnam, 2010 #277" w:history="1">
        <w:r w:rsidR="00263223" w:rsidRPr="00EC42AE">
          <w:rPr>
            <w:noProof/>
          </w:rPr>
          <w:t>10</w:t>
        </w:r>
      </w:hyperlink>
      <w:r w:rsidR="00B46CBB" w:rsidRPr="00EC42AE">
        <w:rPr>
          <w:noProof/>
        </w:rPr>
        <w:t>]</w:t>
      </w:r>
      <w:r w:rsidRPr="00EC42AE">
        <w:fldChar w:fldCharType="end"/>
      </w:r>
      <w:r w:rsidRPr="00EC42AE">
        <w:t xml:space="preserve"> were used.</w:t>
      </w:r>
      <w:r w:rsidR="00E0311F">
        <w:t xml:space="preserve">  These are based primarily on the results from household surveys, as opposed to child mortality estimates from the Institute for Health Metrics and Evaluation (IHME) [1</w:t>
      </w:r>
      <w:r w:rsidR="002D15DE">
        <w:t>1</w:t>
      </w:r>
      <w:r w:rsidR="00E0311F">
        <w:t xml:space="preserve">], which </w:t>
      </w:r>
      <w:proofErr w:type="gramStart"/>
      <w:r w:rsidR="00E0311F">
        <w:t>are</w:t>
      </w:r>
      <w:proofErr w:type="gramEnd"/>
      <w:r w:rsidR="00E0311F">
        <w:t xml:space="preserve"> based on both surveys and models including GDP, maternal education, and HIV.  The IGME data were selected for three main reasons: 1) these data are used as the benchmark for MDG4; 2) they do not use covariates in mortality estimation, which would cause significant confounding in our study, 3) The correlation between IGME and IHME data was 0.98.</w:t>
      </w:r>
      <w:r w:rsidR="002D15DE">
        <w:t xml:space="preserve">  Running the analyses with either choice of dependent variable source did not change the findings.</w:t>
      </w:r>
    </w:p>
    <w:p w14:paraId="78B6F496" w14:textId="77777777" w:rsidR="00E0311F" w:rsidRDefault="00E0311F" w:rsidP="000D2B1D">
      <w:pPr>
        <w:jc w:val="both"/>
      </w:pPr>
    </w:p>
    <w:p w14:paraId="1DD20ED0" w14:textId="139BD5DD" w:rsidR="00E0311F" w:rsidRDefault="00E0311F" w:rsidP="000D2B1D">
      <w:pPr>
        <w:jc w:val="both"/>
      </w:pPr>
      <w:r>
        <w:t>Maternal Mortality estimates were used from the most comprehensive time series available [1</w:t>
      </w:r>
      <w:r w:rsidR="002D15DE">
        <w:t>2</w:t>
      </w:r>
      <w:r>
        <w:t>].  These data, which are based on modeled estimates, have benefits as well as drawbacks.  It is the only available dataset that would permit a global analysis.  The fact that it is based partly on m</w:t>
      </w:r>
      <w:r w:rsidR="00750ED4">
        <w:t>odeled data is a limitation to be accounted for in interpretation of the results.</w:t>
      </w:r>
    </w:p>
    <w:p w14:paraId="24F3F550" w14:textId="77777777" w:rsidR="00514A1A" w:rsidRPr="00412B5C" w:rsidRDefault="00514A1A" w:rsidP="000D2B1D">
      <w:pPr>
        <w:jc w:val="both"/>
      </w:pPr>
    </w:p>
    <w:p w14:paraId="3E16C64B" w14:textId="77777777" w:rsidR="00F30679" w:rsidRPr="00E81562" w:rsidRDefault="00F30679" w:rsidP="000D2B1D">
      <w:pPr>
        <w:jc w:val="both"/>
        <w:rPr>
          <w:b/>
          <w:sz w:val="28"/>
          <w:szCs w:val="28"/>
        </w:rPr>
      </w:pPr>
      <w:r w:rsidRPr="00E81562">
        <w:rPr>
          <w:b/>
          <w:sz w:val="28"/>
          <w:szCs w:val="28"/>
        </w:rPr>
        <w:t>Independent Variables</w:t>
      </w:r>
    </w:p>
    <w:p w14:paraId="6FF7F5D4" w14:textId="4F954B63" w:rsidR="00943EE9" w:rsidRPr="00943EE9" w:rsidRDefault="00F30679" w:rsidP="000D2B1D">
      <w:pPr>
        <w:jc w:val="both"/>
        <w:rPr>
          <w:highlight w:val="darkGray"/>
          <w:lang w:val="en-GB"/>
        </w:rPr>
        <w:sectPr w:rsidR="00943EE9" w:rsidRPr="00943EE9" w:rsidSect="00F61953">
          <w:footerReference w:type="default" r:id="rId16"/>
          <w:pgSz w:w="12240" w:h="15840"/>
          <w:pgMar w:top="1440" w:right="1440" w:bottom="1440" w:left="1440" w:header="720" w:footer="720" w:gutter="0"/>
          <w:cols w:space="720"/>
          <w:docGrid w:linePitch="360"/>
        </w:sectPr>
      </w:pPr>
      <w:r>
        <w:t xml:space="preserve">Since </w:t>
      </w:r>
      <w:r w:rsidR="00B33A35">
        <w:t>maternal and child</w:t>
      </w:r>
      <w:r>
        <w:t xml:space="preserve"> mortality are multifactorial and at least somewhat related to economic development, a broad perspective on health and societal development was used to select independent variables to include in models</w:t>
      </w:r>
      <w:r w:rsidRPr="005731E3">
        <w:t>. Firstly, the UN suggests that plans designed to meet the MDGs should include investments in seven “clusters” of public policy.</w:t>
      </w:r>
      <w:r w:rsidRPr="005731E3">
        <w:fldChar w:fldCharType="begin"/>
      </w:r>
      <w:r w:rsidR="00B46CBB">
        <w:instrText xml:space="preserve"> ADDIN EN.CITE &lt;EndNote&gt;&lt;Cite&gt;&lt;Author&gt;Sachs&lt;/Author&gt;&lt;Year&gt;2005&lt;/Year&gt;&lt;RecNum&gt;163&lt;/RecNum&gt;&lt;DisplayText&gt;[11]&lt;/DisplayText&gt;&lt;record&gt;&lt;rec-number&gt;163&lt;/rec-number&gt;&lt;foreign-keys&gt;&lt;key app="EN" db-id="vaaa05tf7s502vefz2kvfd0izap5erafd0sa"&gt;163&lt;/key&gt;&lt;/foreign-keys&gt;&lt;ref-type name="Book"&gt;6&lt;/ref-type&gt;&lt;contributors&gt;&lt;authors&gt;&lt;author&gt;JD Sachs&lt;/author&gt;&lt;/authors&gt;&lt;/contributors&gt;&lt;titles&gt;&lt;title&gt;Investing in Development: A Practical Plan to Achieve the Millennium Development Goals&lt;/title&gt;&lt;/titles&gt;&lt;dates&gt;&lt;year&gt;2005&lt;/year&gt;&lt;/dates&gt;&lt;pub-location&gt;New York&lt;/pub-location&gt;&lt;publisher&gt;United Nations Development Programme&lt;/publisher&gt;&lt;isbn&gt;1-84407-217-7&lt;/isbn&gt;&lt;label&gt;Sachs&lt;/label&gt;&lt;urls&gt;&lt;/urls&gt;&lt;/record&gt;&lt;/Cite&gt;&lt;/EndNote&gt;</w:instrText>
      </w:r>
      <w:r w:rsidRPr="005731E3">
        <w:fldChar w:fldCharType="separate"/>
      </w:r>
      <w:r w:rsidR="00B46CBB">
        <w:rPr>
          <w:noProof/>
        </w:rPr>
        <w:t>[</w:t>
      </w:r>
      <w:hyperlink w:anchor="_ENREF_11" w:tooltip="Sachs, 2005 #163" w:history="1">
        <w:r w:rsidR="002D15DE">
          <w:rPr>
            <w:noProof/>
          </w:rPr>
          <w:t>13</w:t>
        </w:r>
      </w:hyperlink>
      <w:r w:rsidR="00B46CBB">
        <w:rPr>
          <w:noProof/>
        </w:rPr>
        <w:t>]</w:t>
      </w:r>
      <w:r w:rsidRPr="005731E3">
        <w:fldChar w:fldCharType="end"/>
      </w:r>
      <w:r w:rsidRPr="005731E3">
        <w:t xml:space="preserve"> These are, in brief: 1) rural infrastructure, 2) urban improvement, 3) a well-functioning health system, 4) universal primary education, 5) gender and socioeconomic equality, 6) environmental management and access to water, and 7) economic growth. We further considered a health system to be comprised of six building blocks as defined by the World Health Organization (WHO)</w:t>
      </w:r>
      <w:r w:rsidRPr="005731E3">
        <w:fldChar w:fldCharType="begin"/>
      </w:r>
      <w:r w:rsidR="00B46CBB">
        <w:instrText xml:space="preserve"> ADDIN EN.CITE &lt;EndNote&gt;&lt;Cite&gt;&lt;Author&gt;World Health Organization (WHO)&lt;/Author&gt;&lt;Year&gt;2007&lt;/Year&gt;&lt;RecNum&gt;162&lt;/RecNum&gt;&lt;DisplayText&gt;[12]&lt;/DisplayText&gt;&lt;record&gt;&lt;rec-number&gt;162&lt;/rec-number&gt;&lt;foreign-keys&gt;&lt;key app="EN" db-id="vaaa05tf7s502vefz2kvfd0izap5erafd0sa"&gt;162&lt;/key&gt;&lt;/foreign-keys&gt;&lt;ref-type name="Book"&gt;6&lt;/ref-type&gt;&lt;contributors&gt;&lt;authors&gt;&lt;author&gt;World Health Organization (WHO),&lt;/author&gt;&lt;/authors&gt;&lt;/contributors&gt;&lt;titles&gt;&lt;title&gt;Everybody Business: Strengthening Health Systems to Improve Health Outcomes: Who’s Framework for Action&lt;/title&gt;&lt;/titles&gt;&lt;dates&gt;&lt;year&gt;2007&lt;/year&gt;&lt;/dates&gt;&lt;pub-location&gt;Geneva, Switzerland&lt;/pub-location&gt;&lt;isbn&gt;978 92 4 159607 7&lt;/isbn&gt;&lt;label&gt;WHO&lt;/label&gt;&lt;urls&gt;&lt;/urls&gt;&lt;/record&gt;&lt;/Cite&gt;&lt;/EndNote&gt;</w:instrText>
      </w:r>
      <w:r w:rsidRPr="005731E3">
        <w:fldChar w:fldCharType="separate"/>
      </w:r>
      <w:r w:rsidR="00B46CBB">
        <w:rPr>
          <w:noProof/>
        </w:rPr>
        <w:t>[</w:t>
      </w:r>
      <w:hyperlink w:anchor="_ENREF_12" w:tooltip="World Health Organization (WHO), 2007 #162" w:history="1">
        <w:r w:rsidR="002D15DE">
          <w:rPr>
            <w:noProof/>
          </w:rPr>
          <w:t>14</w:t>
        </w:r>
      </w:hyperlink>
      <w:r w:rsidR="00B46CBB">
        <w:rPr>
          <w:noProof/>
        </w:rPr>
        <w:t>]</w:t>
      </w:r>
      <w:r w:rsidRPr="005731E3">
        <w:fldChar w:fldCharType="end"/>
      </w:r>
      <w:r w:rsidRPr="005731E3">
        <w:t>: 1) service delivery, 2) human resources, 3) information systems, 4) financing, 5) technologies, and 6) governance.  We considered indicators for each of these priority areas from a list of over 250 related indicators compiled by a team of World Bank and WHO experts on maternal and child health in a previous study</w:t>
      </w:r>
      <w:r w:rsidRPr="005731E3">
        <w:fldChar w:fldCharType="begin"/>
      </w:r>
      <w:r w:rsidR="00B46CBB">
        <w:instrText xml:space="preserve"> ADDIN EN.CITE &lt;EndNote&gt;&lt;Cite&gt;&lt;Author&gt;Maternal Newborn &amp;amp; Child Health World Bank&lt;/Author&gt;&lt;Year&gt;2013&lt;/Year&gt;&lt;RecNum&gt;127&lt;/RecNum&gt;&lt;DisplayText&gt;[13]&lt;/DisplayText&gt;&lt;record&gt;&lt;rec-number&gt;127&lt;/rec-number&gt;&lt;foreign-keys&gt;&lt;key app="EN" db-id="vaaa05tf7s502vefz2kvfd0izap5erafd0sa"&gt;127&lt;/key&gt;&lt;/foreign-keys&gt;&lt;ref-type name="Report"&gt;27&lt;/ref-type&gt;&lt;contributors&gt;&lt;authors&gt;&lt;author&gt;Maternal Newborn &amp;amp; Child Health World Bank, &lt;/author&gt;&lt;author&gt;Alliance for Health Policy and Systems Research University of St Gallen, &lt;/author&gt;&lt;author&gt;Johns Hopkins University, &lt;/author&gt;&lt;author&gt;Global Health Insights,&lt;/author&gt;&lt;author&gt;London School of Hygiene and Tropical Medicine, &lt;/author&gt;&lt;author&gt;United States Agency for International,&lt;/author&gt;&lt;author&gt;World Health Organization,&lt;/author&gt;&lt;/authors&gt;&lt;/contributors&gt;&lt;titles&gt;&lt;title&gt;Hope for 2015 and Beyond: Success Factors to Reduce Preventable Maternal and Child Deaths&lt;/title&gt;&lt;alt-title&gt;Report on phases 1 and 2 of the x‐factor study: Synthesis of findings from the literature review, quantitative mapping and case studies in Bolivia, China, Egypt, Malawi, and Nepal&lt;/alt-title&gt;&lt;/titles&gt;&lt;dates&gt;&lt;year&gt;2013&lt;/year&gt;&lt;/dates&gt;&lt;publisher&gt;World Health Organizaton&lt;/publisher&gt;&lt;label&gt;Kuruvilla et al&lt;/label&gt;&lt;urls&gt;&lt;/urls&gt;&lt;/record&gt;&lt;/Cite&gt;&lt;/EndNote&gt;</w:instrText>
      </w:r>
      <w:r w:rsidRPr="005731E3">
        <w:fldChar w:fldCharType="separate"/>
      </w:r>
      <w:r w:rsidR="00B46CBB">
        <w:rPr>
          <w:noProof/>
        </w:rPr>
        <w:t>[</w:t>
      </w:r>
      <w:hyperlink w:anchor="_ENREF_13" w:tooltip="Maternal Newborn &amp; Child Health World Bank, 2013 #127" w:history="1">
        <w:r w:rsidR="00263223">
          <w:rPr>
            <w:noProof/>
          </w:rPr>
          <w:t>13</w:t>
        </w:r>
      </w:hyperlink>
      <w:r w:rsidR="00B46CBB">
        <w:rPr>
          <w:noProof/>
        </w:rPr>
        <w:t>]</w:t>
      </w:r>
      <w:r w:rsidRPr="005731E3">
        <w:fldChar w:fldCharType="end"/>
      </w:r>
      <w:r w:rsidRPr="005731E3">
        <w:t xml:space="preserve"> </w:t>
      </w:r>
      <w:r w:rsidR="00884729">
        <w:t>which also met these</w:t>
      </w:r>
      <w:r w:rsidRPr="005731E3">
        <w:t xml:space="preserve"> additional criteria:</w:t>
      </w:r>
      <w:r w:rsidRPr="005731E3">
        <w:rPr>
          <w:color w:val="221E1F"/>
          <w:lang w:val="en-GB"/>
        </w:rPr>
        <w:t xml:space="preserve"> </w:t>
      </w:r>
      <w:proofErr w:type="spellStart"/>
      <w:r w:rsidRPr="005731E3">
        <w:rPr>
          <w:color w:val="221E1F"/>
          <w:lang w:val="en-GB"/>
        </w:rPr>
        <w:t>i</w:t>
      </w:r>
      <w:proofErr w:type="spellEnd"/>
      <w:r w:rsidRPr="005731E3">
        <w:rPr>
          <w:color w:val="221E1F"/>
          <w:lang w:val="en-GB"/>
        </w:rPr>
        <w:t xml:space="preserve">) they fit into any one of the above policy or health systems priority areas ii) showed significant statistical correlation with reductions in maternal and child mortality iii) the statistical relationship was supported by the empirical and theoretical literature iv) data was at least </w:t>
      </w:r>
      <w:r w:rsidR="00B33A35">
        <w:rPr>
          <w:color w:val="221E1F"/>
          <w:lang w:val="en-GB"/>
        </w:rPr>
        <w:t>75</w:t>
      </w:r>
      <w:r w:rsidRPr="005731E3">
        <w:rPr>
          <w:color w:val="221E1F"/>
          <w:lang w:val="en-GB"/>
        </w:rPr>
        <w:t>% complete from 1990-2010</w:t>
      </w:r>
      <w:r w:rsidRPr="005731E3">
        <w:rPr>
          <w:lang w:val="en-GB"/>
        </w:rPr>
        <w:t xml:space="preserve">.  </w:t>
      </w:r>
      <w:r w:rsidR="00B33A35">
        <w:rPr>
          <w:lang w:val="en-GB"/>
        </w:rPr>
        <w:t>We made an exception for skilled birth attendance and prenatal care, since these determinants have strong support in the literature and were the best available for the important policy area of health systems.</w:t>
      </w:r>
    </w:p>
    <w:p w14:paraId="7F9391EA" w14:textId="5395FFE4" w:rsidR="006905E5" w:rsidRPr="00E81562" w:rsidRDefault="000079B4" w:rsidP="000D2B1D">
      <w:pPr>
        <w:pStyle w:val="Heading1"/>
        <w:jc w:val="both"/>
        <w:rPr>
          <w:color w:val="auto"/>
          <w:sz w:val="36"/>
          <w:szCs w:val="36"/>
        </w:rPr>
      </w:pPr>
      <w:bookmarkStart w:id="1" w:name="_Toc439262131"/>
      <w:r w:rsidRPr="00E81562">
        <w:rPr>
          <w:color w:val="auto"/>
          <w:sz w:val="36"/>
          <w:szCs w:val="36"/>
        </w:rPr>
        <w:lastRenderedPageBreak/>
        <w:t>SENSITIVITY ANALYSIS</w:t>
      </w:r>
      <w:bookmarkEnd w:id="1"/>
      <w:r w:rsidRPr="00E81562">
        <w:rPr>
          <w:color w:val="auto"/>
          <w:sz w:val="36"/>
          <w:szCs w:val="36"/>
        </w:rPr>
        <w:t xml:space="preserve"> </w:t>
      </w:r>
    </w:p>
    <w:p w14:paraId="6B3CE0E1" w14:textId="77777777" w:rsidR="00027E7A" w:rsidRPr="00E81562" w:rsidRDefault="00672659" w:rsidP="000D2B1D">
      <w:pPr>
        <w:jc w:val="both"/>
        <w:rPr>
          <w:sz w:val="28"/>
          <w:szCs w:val="28"/>
        </w:rPr>
      </w:pPr>
      <w:r w:rsidRPr="00E81562">
        <w:rPr>
          <w:rFonts w:eastAsiaTheme="majorEastAsia" w:cstheme="majorBidi"/>
          <w:b/>
          <w:bCs/>
          <w:sz w:val="28"/>
          <w:szCs w:val="28"/>
        </w:rPr>
        <w:t>Sensitivity anal</w:t>
      </w:r>
      <w:r w:rsidR="00027E7A" w:rsidRPr="00E81562">
        <w:rPr>
          <w:rFonts w:eastAsiaTheme="majorEastAsia" w:cstheme="majorBidi"/>
          <w:b/>
          <w:bCs/>
          <w:sz w:val="28"/>
          <w:szCs w:val="28"/>
        </w:rPr>
        <w:t>ysis by weighting scheme</w:t>
      </w:r>
      <w:r w:rsidRPr="00E81562">
        <w:rPr>
          <w:sz w:val="28"/>
          <w:szCs w:val="28"/>
        </w:rPr>
        <w:t xml:space="preserve">  </w:t>
      </w:r>
    </w:p>
    <w:p w14:paraId="3AE67889" w14:textId="75CD4B77" w:rsidR="00E81562" w:rsidRDefault="00672659" w:rsidP="00E81562">
      <w:pPr>
        <w:spacing w:after="120"/>
        <w:jc w:val="both"/>
      </w:pPr>
      <w:r>
        <w:t xml:space="preserve">There is a trivial difference in output between population-weighted and birth-weighted 1990-2010 baseline models. </w:t>
      </w:r>
      <w:r w:rsidR="006905E5">
        <w:t xml:space="preserve">The </w:t>
      </w:r>
      <w:r w:rsidR="001B773B">
        <w:t xml:space="preserve">main </w:t>
      </w:r>
      <w:r w:rsidR="006905E5">
        <w:t xml:space="preserve">analysis uses population weighting.  A country with a large population would have many more people to experience concern about the levels of U5MR even if it had only a few births.  Population weighting gives more weight to health problems in proportion to the national population concerned about it.  An alternative weighting scheme was also used in which U5MR was weighted by the number of births under an epidemiological perspective that births are at risk and the weight should be proportional to risk exposure.  It turns out that both weighting schemes generate roughly similar conclusions (Table </w:t>
      </w:r>
      <w:r w:rsidR="00040C2C">
        <w:t>D</w:t>
      </w:r>
      <w:r w:rsidR="006905E5">
        <w:t>).</w:t>
      </w:r>
      <w:r w:rsidR="001B773B">
        <w:t xml:space="preserve">  This model uses the default value for each policy area: GDP per capita, clean water access, skilled birth attendance, lag 10 years girls primary school attendance, lag 5 years total fertility rate, measles immunization, </w:t>
      </w:r>
      <w:r w:rsidR="007F6CA5">
        <w:t xml:space="preserve">rural electricity access, </w:t>
      </w:r>
      <w:r w:rsidR="001B773B">
        <w:t>and % of parliamentarians that are women.</w:t>
      </w:r>
    </w:p>
    <w:p w14:paraId="6DBBCF28" w14:textId="5FD4F93B" w:rsidR="008C3AE9" w:rsidRDefault="00320D64" w:rsidP="00E81562">
      <w:pPr>
        <w:spacing w:after="120"/>
        <w:jc w:val="both"/>
      </w:pPr>
      <w:r>
        <w:t xml:space="preserve">Appendix Table </w:t>
      </w:r>
      <w:proofErr w:type="gramStart"/>
      <w:r w:rsidR="002B0734">
        <w:t>A</w:t>
      </w:r>
      <w:r w:rsidR="004E0EBF">
        <w:t xml:space="preserve">  Sensitivity</w:t>
      </w:r>
      <w:proofErr w:type="gramEnd"/>
      <w:r w:rsidR="004E0EBF">
        <w:t xml:space="preserve"> analysis of two weighting schemes. Table shows endowments and </w:t>
      </w:r>
      <w:proofErr w:type="gramStart"/>
      <w:r w:rsidR="004E0EBF">
        <w:t>coefficients  emerging</w:t>
      </w:r>
      <w:proofErr w:type="gramEnd"/>
      <w:r w:rsidR="004E0EBF">
        <w:t xml:space="preserve"> from Oaxaca decomposition. Results at left apply weights proportional to total country population. Results at right apply weights proportional to birth count.</w:t>
      </w:r>
      <w:r w:rsidR="007F6CA5">
        <w:fldChar w:fldCharType="begin"/>
      </w:r>
      <w:r w:rsidR="007F6CA5">
        <w:instrText xml:space="preserve"> LINK </w:instrText>
      </w:r>
      <w:r w:rsidR="008C3AE9">
        <w:instrText xml:space="preserve">Excel.SheetBinaryMacroEnabled.12 C:\\LGCA\\birthssens.xlm Sheet1!R2C1:R23C9 </w:instrText>
      </w:r>
      <w:r w:rsidR="007F6CA5">
        <w:instrText xml:space="preserve">\a \f 4 \h  \* MERGEFORMAT </w:instrText>
      </w:r>
      <w:r w:rsidR="007F6CA5">
        <w:fldChar w:fldCharType="separate"/>
      </w:r>
    </w:p>
    <w:tbl>
      <w:tblPr>
        <w:tblW w:w="13596" w:type="dxa"/>
        <w:tblLook w:val="04A0" w:firstRow="1" w:lastRow="0" w:firstColumn="1" w:lastColumn="0" w:noHBand="0" w:noVBand="1"/>
      </w:tblPr>
      <w:tblGrid>
        <w:gridCol w:w="4180"/>
        <w:gridCol w:w="1113"/>
        <w:gridCol w:w="23"/>
        <w:gridCol w:w="1261"/>
        <w:gridCol w:w="23"/>
        <w:gridCol w:w="1136"/>
        <w:gridCol w:w="40"/>
        <w:gridCol w:w="1044"/>
        <w:gridCol w:w="68"/>
        <w:gridCol w:w="1045"/>
        <w:gridCol w:w="91"/>
        <w:gridCol w:w="1193"/>
        <w:gridCol w:w="91"/>
        <w:gridCol w:w="1068"/>
        <w:gridCol w:w="108"/>
        <w:gridCol w:w="976"/>
        <w:gridCol w:w="136"/>
      </w:tblGrid>
      <w:tr w:rsidR="008C3AE9" w:rsidRPr="008C3AE9" w14:paraId="058CE49F" w14:textId="77777777" w:rsidTr="008C3AE9">
        <w:trPr>
          <w:divId w:val="455031951"/>
          <w:trHeight w:val="255"/>
        </w:trPr>
        <w:tc>
          <w:tcPr>
            <w:tcW w:w="4180" w:type="dxa"/>
            <w:tcBorders>
              <w:top w:val="single" w:sz="4" w:space="0" w:color="auto"/>
              <w:left w:val="nil"/>
              <w:bottom w:val="nil"/>
              <w:right w:val="nil"/>
            </w:tcBorders>
            <w:shd w:val="clear" w:color="000000" w:fill="FFFFFF"/>
            <w:noWrap/>
            <w:vAlign w:val="bottom"/>
            <w:hideMark/>
          </w:tcPr>
          <w:p w14:paraId="4DD2BB68"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4708" w:type="dxa"/>
            <w:gridSpan w:val="8"/>
            <w:tcBorders>
              <w:top w:val="single" w:sz="4" w:space="0" w:color="auto"/>
              <w:left w:val="nil"/>
              <w:bottom w:val="nil"/>
              <w:right w:val="nil"/>
            </w:tcBorders>
            <w:shd w:val="clear" w:color="000000" w:fill="FFFFFF"/>
            <w:noWrap/>
            <w:vAlign w:val="center"/>
            <w:hideMark/>
          </w:tcPr>
          <w:p w14:paraId="286C5A9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Population Weighted</w:t>
            </w:r>
          </w:p>
        </w:tc>
        <w:tc>
          <w:tcPr>
            <w:tcW w:w="4708" w:type="dxa"/>
            <w:gridSpan w:val="8"/>
            <w:tcBorders>
              <w:top w:val="single" w:sz="4" w:space="0" w:color="auto"/>
              <w:left w:val="nil"/>
              <w:bottom w:val="nil"/>
              <w:right w:val="nil"/>
            </w:tcBorders>
            <w:shd w:val="clear" w:color="000000" w:fill="FFFFFF"/>
            <w:noWrap/>
            <w:vAlign w:val="bottom"/>
            <w:hideMark/>
          </w:tcPr>
          <w:p w14:paraId="5FDB926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Births Weighted</w:t>
            </w:r>
          </w:p>
        </w:tc>
      </w:tr>
      <w:tr w:rsidR="008C3AE9" w:rsidRPr="008C3AE9" w14:paraId="048796D3"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092B61C3"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VARIABLES</w:t>
            </w:r>
          </w:p>
        </w:tc>
        <w:tc>
          <w:tcPr>
            <w:tcW w:w="1136" w:type="dxa"/>
            <w:gridSpan w:val="2"/>
            <w:tcBorders>
              <w:top w:val="nil"/>
              <w:left w:val="nil"/>
              <w:bottom w:val="nil"/>
              <w:right w:val="nil"/>
            </w:tcBorders>
            <w:shd w:val="clear" w:color="000000" w:fill="FFFFFF"/>
            <w:noWrap/>
            <w:vAlign w:val="bottom"/>
            <w:hideMark/>
          </w:tcPr>
          <w:p w14:paraId="6052199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Differential</w:t>
            </w:r>
          </w:p>
        </w:tc>
        <w:tc>
          <w:tcPr>
            <w:tcW w:w="1284" w:type="dxa"/>
            <w:gridSpan w:val="2"/>
            <w:tcBorders>
              <w:top w:val="nil"/>
              <w:left w:val="nil"/>
              <w:bottom w:val="nil"/>
              <w:right w:val="nil"/>
            </w:tcBorders>
            <w:shd w:val="clear" w:color="000000" w:fill="FFFFFF"/>
            <w:noWrap/>
            <w:vAlign w:val="bottom"/>
            <w:hideMark/>
          </w:tcPr>
          <w:p w14:paraId="48AC354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Endowments</w:t>
            </w:r>
          </w:p>
        </w:tc>
        <w:tc>
          <w:tcPr>
            <w:tcW w:w="1176" w:type="dxa"/>
            <w:gridSpan w:val="2"/>
            <w:tcBorders>
              <w:top w:val="nil"/>
              <w:left w:val="nil"/>
              <w:bottom w:val="nil"/>
              <w:right w:val="nil"/>
            </w:tcBorders>
            <w:shd w:val="clear" w:color="000000" w:fill="FFFFFF"/>
            <w:noWrap/>
            <w:vAlign w:val="bottom"/>
            <w:hideMark/>
          </w:tcPr>
          <w:p w14:paraId="1183ED6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Coefficients</w:t>
            </w:r>
          </w:p>
        </w:tc>
        <w:tc>
          <w:tcPr>
            <w:tcW w:w="1112" w:type="dxa"/>
            <w:gridSpan w:val="2"/>
            <w:tcBorders>
              <w:top w:val="nil"/>
              <w:left w:val="nil"/>
              <w:bottom w:val="nil"/>
              <w:right w:val="nil"/>
            </w:tcBorders>
            <w:shd w:val="clear" w:color="000000" w:fill="FFFFFF"/>
            <w:noWrap/>
            <w:vAlign w:val="bottom"/>
            <w:hideMark/>
          </w:tcPr>
          <w:p w14:paraId="0D38879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Interaction</w:t>
            </w:r>
          </w:p>
        </w:tc>
        <w:tc>
          <w:tcPr>
            <w:tcW w:w="1136" w:type="dxa"/>
            <w:gridSpan w:val="2"/>
            <w:tcBorders>
              <w:top w:val="nil"/>
              <w:left w:val="nil"/>
              <w:bottom w:val="nil"/>
              <w:right w:val="nil"/>
            </w:tcBorders>
            <w:shd w:val="clear" w:color="000000" w:fill="FFFFFF"/>
            <w:noWrap/>
            <w:vAlign w:val="bottom"/>
            <w:hideMark/>
          </w:tcPr>
          <w:p w14:paraId="4CB6F55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Differential</w:t>
            </w:r>
          </w:p>
        </w:tc>
        <w:tc>
          <w:tcPr>
            <w:tcW w:w="1284" w:type="dxa"/>
            <w:gridSpan w:val="2"/>
            <w:tcBorders>
              <w:top w:val="nil"/>
              <w:left w:val="nil"/>
              <w:bottom w:val="nil"/>
              <w:right w:val="nil"/>
            </w:tcBorders>
            <w:shd w:val="clear" w:color="000000" w:fill="FFFFFF"/>
            <w:noWrap/>
            <w:vAlign w:val="bottom"/>
            <w:hideMark/>
          </w:tcPr>
          <w:p w14:paraId="21EECEA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Endowments</w:t>
            </w:r>
          </w:p>
        </w:tc>
        <w:tc>
          <w:tcPr>
            <w:tcW w:w="1176" w:type="dxa"/>
            <w:gridSpan w:val="2"/>
            <w:tcBorders>
              <w:top w:val="nil"/>
              <w:left w:val="nil"/>
              <w:bottom w:val="nil"/>
              <w:right w:val="nil"/>
            </w:tcBorders>
            <w:shd w:val="clear" w:color="000000" w:fill="FFFFFF"/>
            <w:noWrap/>
            <w:vAlign w:val="bottom"/>
            <w:hideMark/>
          </w:tcPr>
          <w:p w14:paraId="617A40B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Coefficients</w:t>
            </w:r>
          </w:p>
        </w:tc>
        <w:tc>
          <w:tcPr>
            <w:tcW w:w="1112" w:type="dxa"/>
            <w:gridSpan w:val="2"/>
            <w:tcBorders>
              <w:top w:val="nil"/>
              <w:left w:val="nil"/>
              <w:bottom w:val="nil"/>
              <w:right w:val="nil"/>
            </w:tcBorders>
            <w:shd w:val="clear" w:color="000000" w:fill="FFFFFF"/>
            <w:noWrap/>
            <w:vAlign w:val="bottom"/>
            <w:hideMark/>
          </w:tcPr>
          <w:p w14:paraId="2A11B63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Interaction</w:t>
            </w:r>
          </w:p>
        </w:tc>
      </w:tr>
      <w:tr w:rsidR="008C3AE9" w:rsidRPr="008C3AE9" w14:paraId="1B2C1B30" w14:textId="77777777" w:rsidTr="008C3AE9">
        <w:trPr>
          <w:divId w:val="455031951"/>
          <w:trHeight w:val="255"/>
        </w:trPr>
        <w:tc>
          <w:tcPr>
            <w:tcW w:w="4180" w:type="dxa"/>
            <w:tcBorders>
              <w:top w:val="single" w:sz="4" w:space="0" w:color="000000"/>
              <w:left w:val="nil"/>
              <w:bottom w:val="nil"/>
              <w:right w:val="nil"/>
            </w:tcBorders>
            <w:shd w:val="clear" w:color="000000" w:fill="FFFFFF"/>
            <w:noWrap/>
            <w:vAlign w:val="bottom"/>
            <w:hideMark/>
          </w:tcPr>
          <w:p w14:paraId="60B1DD64"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single" w:sz="4" w:space="0" w:color="000000"/>
              <w:left w:val="nil"/>
              <w:bottom w:val="nil"/>
              <w:right w:val="nil"/>
            </w:tcBorders>
            <w:shd w:val="clear" w:color="000000" w:fill="FFFFFF"/>
            <w:noWrap/>
            <w:vAlign w:val="bottom"/>
            <w:hideMark/>
          </w:tcPr>
          <w:p w14:paraId="22871CC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single" w:sz="4" w:space="0" w:color="000000"/>
              <w:left w:val="nil"/>
              <w:bottom w:val="nil"/>
              <w:right w:val="nil"/>
            </w:tcBorders>
            <w:shd w:val="clear" w:color="000000" w:fill="FFFFFF"/>
            <w:noWrap/>
            <w:vAlign w:val="bottom"/>
            <w:hideMark/>
          </w:tcPr>
          <w:p w14:paraId="34678A6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single" w:sz="4" w:space="0" w:color="000000"/>
              <w:left w:val="nil"/>
              <w:bottom w:val="nil"/>
              <w:right w:val="nil"/>
            </w:tcBorders>
            <w:shd w:val="clear" w:color="000000" w:fill="FFFFFF"/>
            <w:noWrap/>
            <w:vAlign w:val="bottom"/>
            <w:hideMark/>
          </w:tcPr>
          <w:p w14:paraId="0336882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single" w:sz="4" w:space="0" w:color="000000"/>
              <w:left w:val="nil"/>
              <w:bottom w:val="nil"/>
              <w:right w:val="nil"/>
            </w:tcBorders>
            <w:shd w:val="clear" w:color="000000" w:fill="FFFFFF"/>
            <w:noWrap/>
            <w:vAlign w:val="bottom"/>
            <w:hideMark/>
          </w:tcPr>
          <w:p w14:paraId="5E1168F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single" w:sz="4" w:space="0" w:color="000000"/>
              <w:left w:val="nil"/>
              <w:bottom w:val="nil"/>
              <w:right w:val="nil"/>
            </w:tcBorders>
            <w:shd w:val="clear" w:color="000000" w:fill="FFFFFF"/>
            <w:noWrap/>
            <w:vAlign w:val="bottom"/>
            <w:hideMark/>
          </w:tcPr>
          <w:p w14:paraId="5CF421F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single" w:sz="4" w:space="0" w:color="000000"/>
              <w:left w:val="nil"/>
              <w:bottom w:val="nil"/>
              <w:right w:val="nil"/>
            </w:tcBorders>
            <w:shd w:val="clear" w:color="000000" w:fill="FFFFFF"/>
            <w:noWrap/>
            <w:vAlign w:val="bottom"/>
            <w:hideMark/>
          </w:tcPr>
          <w:p w14:paraId="1CC91DD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single" w:sz="4" w:space="0" w:color="000000"/>
              <w:left w:val="nil"/>
              <w:bottom w:val="nil"/>
              <w:right w:val="nil"/>
            </w:tcBorders>
            <w:shd w:val="clear" w:color="000000" w:fill="FFFFFF"/>
            <w:noWrap/>
            <w:vAlign w:val="bottom"/>
            <w:hideMark/>
          </w:tcPr>
          <w:p w14:paraId="6A8976C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single" w:sz="4" w:space="0" w:color="000000"/>
              <w:left w:val="nil"/>
              <w:bottom w:val="nil"/>
              <w:right w:val="nil"/>
            </w:tcBorders>
            <w:shd w:val="clear" w:color="000000" w:fill="FFFFFF"/>
            <w:noWrap/>
            <w:vAlign w:val="bottom"/>
            <w:hideMark/>
          </w:tcPr>
          <w:p w14:paraId="369F5FD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r>
      <w:tr w:rsidR="008C3AE9" w:rsidRPr="008C3AE9" w14:paraId="50F15FF0"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061BCBBF"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Log GDP per capita</w:t>
            </w:r>
          </w:p>
        </w:tc>
        <w:tc>
          <w:tcPr>
            <w:tcW w:w="1136" w:type="dxa"/>
            <w:gridSpan w:val="2"/>
            <w:tcBorders>
              <w:top w:val="nil"/>
              <w:left w:val="nil"/>
              <w:bottom w:val="nil"/>
              <w:right w:val="nil"/>
            </w:tcBorders>
            <w:shd w:val="clear" w:color="000000" w:fill="FFFFFF"/>
            <w:noWrap/>
            <w:vAlign w:val="bottom"/>
            <w:hideMark/>
          </w:tcPr>
          <w:p w14:paraId="7364008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5E761AD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0.12</w:t>
            </w:r>
          </w:p>
        </w:tc>
        <w:tc>
          <w:tcPr>
            <w:tcW w:w="1176" w:type="dxa"/>
            <w:gridSpan w:val="2"/>
            <w:tcBorders>
              <w:top w:val="nil"/>
              <w:left w:val="nil"/>
              <w:bottom w:val="nil"/>
              <w:right w:val="nil"/>
            </w:tcBorders>
            <w:shd w:val="clear" w:color="000000" w:fill="FFFFFF"/>
            <w:noWrap/>
            <w:vAlign w:val="bottom"/>
            <w:hideMark/>
          </w:tcPr>
          <w:p w14:paraId="73F02FB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0.553</w:t>
            </w:r>
          </w:p>
        </w:tc>
        <w:tc>
          <w:tcPr>
            <w:tcW w:w="1112" w:type="dxa"/>
            <w:gridSpan w:val="2"/>
            <w:tcBorders>
              <w:top w:val="nil"/>
              <w:left w:val="nil"/>
              <w:bottom w:val="nil"/>
              <w:right w:val="nil"/>
            </w:tcBorders>
            <w:shd w:val="clear" w:color="000000" w:fill="FFFFFF"/>
            <w:noWrap/>
            <w:vAlign w:val="bottom"/>
            <w:hideMark/>
          </w:tcPr>
          <w:p w14:paraId="6063BDF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-0.057</w:t>
            </w:r>
          </w:p>
        </w:tc>
        <w:tc>
          <w:tcPr>
            <w:tcW w:w="1136" w:type="dxa"/>
            <w:gridSpan w:val="2"/>
            <w:tcBorders>
              <w:top w:val="nil"/>
              <w:left w:val="nil"/>
              <w:bottom w:val="nil"/>
              <w:right w:val="nil"/>
            </w:tcBorders>
            <w:shd w:val="clear" w:color="000000" w:fill="FFFFFF"/>
            <w:noWrap/>
            <w:vAlign w:val="bottom"/>
            <w:hideMark/>
          </w:tcPr>
          <w:p w14:paraId="6D7AE2E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1E607B2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0.078</w:t>
            </w:r>
          </w:p>
        </w:tc>
        <w:tc>
          <w:tcPr>
            <w:tcW w:w="1176" w:type="dxa"/>
            <w:gridSpan w:val="2"/>
            <w:tcBorders>
              <w:top w:val="nil"/>
              <w:left w:val="nil"/>
              <w:bottom w:val="nil"/>
              <w:right w:val="nil"/>
            </w:tcBorders>
            <w:shd w:val="clear" w:color="000000" w:fill="FFFFFF"/>
            <w:noWrap/>
            <w:vAlign w:val="bottom"/>
            <w:hideMark/>
          </w:tcPr>
          <w:p w14:paraId="76619E7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0.319</w:t>
            </w:r>
          </w:p>
        </w:tc>
        <w:tc>
          <w:tcPr>
            <w:tcW w:w="1112" w:type="dxa"/>
            <w:gridSpan w:val="2"/>
            <w:tcBorders>
              <w:top w:val="nil"/>
              <w:left w:val="nil"/>
              <w:bottom w:val="nil"/>
              <w:right w:val="nil"/>
            </w:tcBorders>
            <w:shd w:val="clear" w:color="000000" w:fill="FFFFFF"/>
            <w:noWrap/>
            <w:vAlign w:val="bottom"/>
            <w:hideMark/>
          </w:tcPr>
          <w:p w14:paraId="1A08715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-0.028</w:t>
            </w:r>
          </w:p>
        </w:tc>
      </w:tr>
      <w:tr w:rsidR="008C3AE9" w:rsidRPr="008C3AE9" w14:paraId="6696413B"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56FA56A6"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Log odds Clean Water Access</w:t>
            </w:r>
          </w:p>
        </w:tc>
        <w:tc>
          <w:tcPr>
            <w:tcW w:w="1136" w:type="dxa"/>
            <w:gridSpan w:val="2"/>
            <w:tcBorders>
              <w:top w:val="nil"/>
              <w:left w:val="nil"/>
              <w:bottom w:val="nil"/>
              <w:right w:val="nil"/>
            </w:tcBorders>
            <w:shd w:val="clear" w:color="000000" w:fill="FFFFFF"/>
            <w:noWrap/>
            <w:vAlign w:val="bottom"/>
            <w:hideMark/>
          </w:tcPr>
          <w:p w14:paraId="5CDAFDB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58432B8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0.099</w:t>
            </w:r>
          </w:p>
        </w:tc>
        <w:tc>
          <w:tcPr>
            <w:tcW w:w="1176" w:type="dxa"/>
            <w:gridSpan w:val="2"/>
            <w:tcBorders>
              <w:top w:val="nil"/>
              <w:left w:val="nil"/>
              <w:bottom w:val="nil"/>
              <w:right w:val="nil"/>
            </w:tcBorders>
            <w:shd w:val="clear" w:color="000000" w:fill="FFFFFF"/>
            <w:noWrap/>
            <w:vAlign w:val="bottom"/>
            <w:hideMark/>
          </w:tcPr>
          <w:p w14:paraId="23EA4ED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0.118</w:t>
            </w:r>
          </w:p>
        </w:tc>
        <w:tc>
          <w:tcPr>
            <w:tcW w:w="1112" w:type="dxa"/>
            <w:gridSpan w:val="2"/>
            <w:tcBorders>
              <w:top w:val="nil"/>
              <w:left w:val="nil"/>
              <w:bottom w:val="nil"/>
              <w:right w:val="nil"/>
            </w:tcBorders>
            <w:shd w:val="clear" w:color="000000" w:fill="FFFFFF"/>
            <w:noWrap/>
            <w:vAlign w:val="bottom"/>
            <w:hideMark/>
          </w:tcPr>
          <w:p w14:paraId="6EDF2B5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-0.06</w:t>
            </w:r>
          </w:p>
        </w:tc>
        <w:tc>
          <w:tcPr>
            <w:tcW w:w="1136" w:type="dxa"/>
            <w:gridSpan w:val="2"/>
            <w:tcBorders>
              <w:top w:val="nil"/>
              <w:left w:val="nil"/>
              <w:bottom w:val="nil"/>
              <w:right w:val="nil"/>
            </w:tcBorders>
            <w:shd w:val="clear" w:color="000000" w:fill="FFFFFF"/>
            <w:noWrap/>
            <w:vAlign w:val="bottom"/>
            <w:hideMark/>
          </w:tcPr>
          <w:p w14:paraId="028E093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1E04326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0.067</w:t>
            </w:r>
          </w:p>
        </w:tc>
        <w:tc>
          <w:tcPr>
            <w:tcW w:w="1176" w:type="dxa"/>
            <w:gridSpan w:val="2"/>
            <w:tcBorders>
              <w:top w:val="nil"/>
              <w:left w:val="nil"/>
              <w:bottom w:val="nil"/>
              <w:right w:val="nil"/>
            </w:tcBorders>
            <w:shd w:val="clear" w:color="000000" w:fill="FFFFFF"/>
            <w:noWrap/>
            <w:vAlign w:val="bottom"/>
            <w:hideMark/>
          </w:tcPr>
          <w:p w14:paraId="220EBF2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0.021</w:t>
            </w:r>
          </w:p>
        </w:tc>
        <w:tc>
          <w:tcPr>
            <w:tcW w:w="1112" w:type="dxa"/>
            <w:gridSpan w:val="2"/>
            <w:tcBorders>
              <w:top w:val="nil"/>
              <w:left w:val="nil"/>
              <w:bottom w:val="nil"/>
              <w:right w:val="nil"/>
            </w:tcBorders>
            <w:shd w:val="clear" w:color="000000" w:fill="FFFFFF"/>
            <w:noWrap/>
            <w:vAlign w:val="bottom"/>
            <w:hideMark/>
          </w:tcPr>
          <w:p w14:paraId="2AC870A5"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-0.011</w:t>
            </w:r>
          </w:p>
        </w:tc>
      </w:tr>
      <w:tr w:rsidR="008C3AE9" w:rsidRPr="008C3AE9" w14:paraId="17D66DDD"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2D5165BA"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Log odds Skilled Birth Attendance</w:t>
            </w:r>
          </w:p>
        </w:tc>
        <w:tc>
          <w:tcPr>
            <w:tcW w:w="1136" w:type="dxa"/>
            <w:gridSpan w:val="2"/>
            <w:tcBorders>
              <w:top w:val="nil"/>
              <w:left w:val="nil"/>
              <w:bottom w:val="nil"/>
              <w:right w:val="nil"/>
            </w:tcBorders>
            <w:shd w:val="clear" w:color="000000" w:fill="FFFFFF"/>
            <w:noWrap/>
            <w:vAlign w:val="bottom"/>
            <w:hideMark/>
          </w:tcPr>
          <w:p w14:paraId="26B85CA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09C6279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0.136</w:t>
            </w:r>
          </w:p>
        </w:tc>
        <w:tc>
          <w:tcPr>
            <w:tcW w:w="1176" w:type="dxa"/>
            <w:gridSpan w:val="2"/>
            <w:tcBorders>
              <w:top w:val="nil"/>
              <w:left w:val="nil"/>
              <w:bottom w:val="nil"/>
              <w:right w:val="nil"/>
            </w:tcBorders>
            <w:shd w:val="clear" w:color="000000" w:fill="FFFFFF"/>
            <w:noWrap/>
            <w:vAlign w:val="bottom"/>
            <w:hideMark/>
          </w:tcPr>
          <w:p w14:paraId="11EA827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0.08</w:t>
            </w:r>
          </w:p>
        </w:tc>
        <w:tc>
          <w:tcPr>
            <w:tcW w:w="1112" w:type="dxa"/>
            <w:gridSpan w:val="2"/>
            <w:tcBorders>
              <w:top w:val="nil"/>
              <w:left w:val="nil"/>
              <w:bottom w:val="nil"/>
              <w:right w:val="nil"/>
            </w:tcBorders>
            <w:shd w:val="clear" w:color="000000" w:fill="FFFFFF"/>
            <w:noWrap/>
            <w:vAlign w:val="bottom"/>
            <w:hideMark/>
          </w:tcPr>
          <w:p w14:paraId="6C9AB25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-0.049</w:t>
            </w:r>
          </w:p>
        </w:tc>
        <w:tc>
          <w:tcPr>
            <w:tcW w:w="1136" w:type="dxa"/>
            <w:gridSpan w:val="2"/>
            <w:tcBorders>
              <w:top w:val="nil"/>
              <w:left w:val="nil"/>
              <w:bottom w:val="nil"/>
              <w:right w:val="nil"/>
            </w:tcBorders>
            <w:shd w:val="clear" w:color="000000" w:fill="FFFFFF"/>
            <w:noWrap/>
            <w:vAlign w:val="bottom"/>
            <w:hideMark/>
          </w:tcPr>
          <w:p w14:paraId="05B8A18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17197D8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0.082</w:t>
            </w:r>
          </w:p>
        </w:tc>
        <w:tc>
          <w:tcPr>
            <w:tcW w:w="1176" w:type="dxa"/>
            <w:gridSpan w:val="2"/>
            <w:tcBorders>
              <w:top w:val="nil"/>
              <w:left w:val="nil"/>
              <w:bottom w:val="nil"/>
              <w:right w:val="nil"/>
            </w:tcBorders>
            <w:shd w:val="clear" w:color="000000" w:fill="FFFFFF"/>
            <w:noWrap/>
            <w:vAlign w:val="bottom"/>
            <w:hideMark/>
          </w:tcPr>
          <w:p w14:paraId="47F07FF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0.029</w:t>
            </w:r>
          </w:p>
        </w:tc>
        <w:tc>
          <w:tcPr>
            <w:tcW w:w="1112" w:type="dxa"/>
            <w:gridSpan w:val="2"/>
            <w:tcBorders>
              <w:top w:val="nil"/>
              <w:left w:val="nil"/>
              <w:bottom w:val="nil"/>
              <w:right w:val="nil"/>
            </w:tcBorders>
            <w:shd w:val="clear" w:color="000000" w:fill="FFFFFF"/>
            <w:noWrap/>
            <w:vAlign w:val="bottom"/>
            <w:hideMark/>
          </w:tcPr>
          <w:p w14:paraId="70696F0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-0.022</w:t>
            </w:r>
          </w:p>
        </w:tc>
      </w:tr>
      <w:tr w:rsidR="008C3AE9" w:rsidRPr="008C3AE9" w14:paraId="15864065"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184181D7"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Lag 10 years Primary School Attendance, Female</w:t>
            </w:r>
          </w:p>
        </w:tc>
        <w:tc>
          <w:tcPr>
            <w:tcW w:w="1136" w:type="dxa"/>
            <w:gridSpan w:val="2"/>
            <w:tcBorders>
              <w:top w:val="nil"/>
              <w:left w:val="nil"/>
              <w:bottom w:val="nil"/>
              <w:right w:val="nil"/>
            </w:tcBorders>
            <w:shd w:val="clear" w:color="000000" w:fill="FFFFFF"/>
            <w:noWrap/>
            <w:vAlign w:val="bottom"/>
            <w:hideMark/>
          </w:tcPr>
          <w:p w14:paraId="241EE4A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5037BD4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0.006</w:t>
            </w:r>
          </w:p>
        </w:tc>
        <w:tc>
          <w:tcPr>
            <w:tcW w:w="1176" w:type="dxa"/>
            <w:gridSpan w:val="2"/>
            <w:tcBorders>
              <w:top w:val="nil"/>
              <w:left w:val="nil"/>
              <w:bottom w:val="nil"/>
              <w:right w:val="nil"/>
            </w:tcBorders>
            <w:shd w:val="clear" w:color="000000" w:fill="FFFFFF"/>
            <w:noWrap/>
            <w:vAlign w:val="bottom"/>
            <w:hideMark/>
          </w:tcPr>
          <w:p w14:paraId="056627D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0.194</w:t>
            </w:r>
          </w:p>
        </w:tc>
        <w:tc>
          <w:tcPr>
            <w:tcW w:w="1112" w:type="dxa"/>
            <w:gridSpan w:val="2"/>
            <w:tcBorders>
              <w:top w:val="nil"/>
              <w:left w:val="nil"/>
              <w:bottom w:val="nil"/>
              <w:right w:val="nil"/>
            </w:tcBorders>
            <w:shd w:val="clear" w:color="000000" w:fill="FFFFFF"/>
            <w:noWrap/>
            <w:vAlign w:val="bottom"/>
            <w:hideMark/>
          </w:tcPr>
          <w:p w14:paraId="3B140A8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-0.012</w:t>
            </w:r>
          </w:p>
        </w:tc>
        <w:tc>
          <w:tcPr>
            <w:tcW w:w="1136" w:type="dxa"/>
            <w:gridSpan w:val="2"/>
            <w:tcBorders>
              <w:top w:val="nil"/>
              <w:left w:val="nil"/>
              <w:bottom w:val="nil"/>
              <w:right w:val="nil"/>
            </w:tcBorders>
            <w:shd w:val="clear" w:color="000000" w:fill="FFFFFF"/>
            <w:noWrap/>
            <w:vAlign w:val="bottom"/>
            <w:hideMark/>
          </w:tcPr>
          <w:p w14:paraId="0AE57EB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213B14D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0.008</w:t>
            </w:r>
          </w:p>
        </w:tc>
        <w:tc>
          <w:tcPr>
            <w:tcW w:w="1176" w:type="dxa"/>
            <w:gridSpan w:val="2"/>
            <w:tcBorders>
              <w:top w:val="nil"/>
              <w:left w:val="nil"/>
              <w:bottom w:val="nil"/>
              <w:right w:val="nil"/>
            </w:tcBorders>
            <w:shd w:val="clear" w:color="000000" w:fill="FFFFFF"/>
            <w:noWrap/>
            <w:vAlign w:val="bottom"/>
            <w:hideMark/>
          </w:tcPr>
          <w:p w14:paraId="729C28B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0.167</w:t>
            </w:r>
          </w:p>
        </w:tc>
        <w:tc>
          <w:tcPr>
            <w:tcW w:w="1112" w:type="dxa"/>
            <w:gridSpan w:val="2"/>
            <w:tcBorders>
              <w:top w:val="nil"/>
              <w:left w:val="nil"/>
              <w:bottom w:val="nil"/>
              <w:right w:val="nil"/>
            </w:tcBorders>
            <w:shd w:val="clear" w:color="000000" w:fill="FFFFFF"/>
            <w:noWrap/>
            <w:vAlign w:val="bottom"/>
            <w:hideMark/>
          </w:tcPr>
          <w:p w14:paraId="6BD2EAC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-0.011</w:t>
            </w:r>
          </w:p>
        </w:tc>
      </w:tr>
      <w:tr w:rsidR="008C3AE9" w:rsidRPr="008C3AE9" w14:paraId="52547552"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5A6123A7"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Lag 5 years Total Fertility rate</w:t>
            </w:r>
          </w:p>
        </w:tc>
        <w:tc>
          <w:tcPr>
            <w:tcW w:w="1136" w:type="dxa"/>
            <w:gridSpan w:val="2"/>
            <w:tcBorders>
              <w:top w:val="nil"/>
              <w:left w:val="nil"/>
              <w:bottom w:val="nil"/>
              <w:right w:val="nil"/>
            </w:tcBorders>
            <w:shd w:val="clear" w:color="000000" w:fill="FFFFFF"/>
            <w:noWrap/>
            <w:vAlign w:val="bottom"/>
            <w:hideMark/>
          </w:tcPr>
          <w:p w14:paraId="5BA1AA0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640427F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0.23</w:t>
            </w:r>
          </w:p>
        </w:tc>
        <w:tc>
          <w:tcPr>
            <w:tcW w:w="1176" w:type="dxa"/>
            <w:gridSpan w:val="2"/>
            <w:tcBorders>
              <w:top w:val="nil"/>
              <w:left w:val="nil"/>
              <w:bottom w:val="nil"/>
              <w:right w:val="nil"/>
            </w:tcBorders>
            <w:shd w:val="clear" w:color="000000" w:fill="FFFFFF"/>
            <w:noWrap/>
            <w:vAlign w:val="bottom"/>
            <w:hideMark/>
          </w:tcPr>
          <w:p w14:paraId="0E7DA6F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0.068</w:t>
            </w:r>
          </w:p>
        </w:tc>
        <w:tc>
          <w:tcPr>
            <w:tcW w:w="1112" w:type="dxa"/>
            <w:gridSpan w:val="2"/>
            <w:tcBorders>
              <w:top w:val="nil"/>
              <w:left w:val="nil"/>
              <w:bottom w:val="nil"/>
              <w:right w:val="nil"/>
            </w:tcBorders>
            <w:shd w:val="clear" w:color="000000" w:fill="FFFFFF"/>
            <w:noWrap/>
            <w:vAlign w:val="bottom"/>
            <w:hideMark/>
          </w:tcPr>
          <w:p w14:paraId="057A233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0.029</w:t>
            </w:r>
          </w:p>
        </w:tc>
        <w:tc>
          <w:tcPr>
            <w:tcW w:w="1136" w:type="dxa"/>
            <w:gridSpan w:val="2"/>
            <w:tcBorders>
              <w:top w:val="nil"/>
              <w:left w:val="nil"/>
              <w:bottom w:val="nil"/>
              <w:right w:val="nil"/>
            </w:tcBorders>
            <w:shd w:val="clear" w:color="000000" w:fill="FFFFFF"/>
            <w:noWrap/>
            <w:vAlign w:val="bottom"/>
            <w:hideMark/>
          </w:tcPr>
          <w:p w14:paraId="39A619F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343F3E4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0.183</w:t>
            </w:r>
          </w:p>
        </w:tc>
        <w:tc>
          <w:tcPr>
            <w:tcW w:w="1176" w:type="dxa"/>
            <w:gridSpan w:val="2"/>
            <w:tcBorders>
              <w:top w:val="nil"/>
              <w:left w:val="nil"/>
              <w:bottom w:val="nil"/>
              <w:right w:val="nil"/>
            </w:tcBorders>
            <w:shd w:val="clear" w:color="000000" w:fill="FFFFFF"/>
            <w:noWrap/>
            <w:vAlign w:val="bottom"/>
            <w:hideMark/>
          </w:tcPr>
          <w:p w14:paraId="7943DA1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0.042</w:t>
            </w:r>
          </w:p>
        </w:tc>
        <w:tc>
          <w:tcPr>
            <w:tcW w:w="1112" w:type="dxa"/>
            <w:gridSpan w:val="2"/>
            <w:tcBorders>
              <w:top w:val="nil"/>
              <w:left w:val="nil"/>
              <w:bottom w:val="nil"/>
              <w:right w:val="nil"/>
            </w:tcBorders>
            <w:shd w:val="clear" w:color="000000" w:fill="FFFFFF"/>
            <w:noWrap/>
            <w:vAlign w:val="bottom"/>
            <w:hideMark/>
          </w:tcPr>
          <w:p w14:paraId="3B12911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0.013</w:t>
            </w:r>
          </w:p>
        </w:tc>
      </w:tr>
      <w:tr w:rsidR="008C3AE9" w:rsidRPr="008C3AE9" w14:paraId="7CB40B88"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0D25A874"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Log odds Measles Immunization</w:t>
            </w:r>
          </w:p>
        </w:tc>
        <w:tc>
          <w:tcPr>
            <w:tcW w:w="1136" w:type="dxa"/>
            <w:gridSpan w:val="2"/>
            <w:tcBorders>
              <w:top w:val="nil"/>
              <w:left w:val="nil"/>
              <w:bottom w:val="nil"/>
              <w:right w:val="nil"/>
            </w:tcBorders>
            <w:shd w:val="clear" w:color="000000" w:fill="FFFFFF"/>
            <w:noWrap/>
            <w:vAlign w:val="bottom"/>
            <w:hideMark/>
          </w:tcPr>
          <w:p w14:paraId="78BC1F9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6413C4B5"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0.155</w:t>
            </w:r>
          </w:p>
        </w:tc>
        <w:tc>
          <w:tcPr>
            <w:tcW w:w="1176" w:type="dxa"/>
            <w:gridSpan w:val="2"/>
            <w:tcBorders>
              <w:top w:val="nil"/>
              <w:left w:val="nil"/>
              <w:bottom w:val="nil"/>
              <w:right w:val="nil"/>
            </w:tcBorders>
            <w:shd w:val="clear" w:color="000000" w:fill="FFFFFF"/>
            <w:noWrap/>
            <w:vAlign w:val="bottom"/>
            <w:hideMark/>
          </w:tcPr>
          <w:p w14:paraId="656E3515"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-0.018</w:t>
            </w:r>
          </w:p>
        </w:tc>
        <w:tc>
          <w:tcPr>
            <w:tcW w:w="1112" w:type="dxa"/>
            <w:gridSpan w:val="2"/>
            <w:tcBorders>
              <w:top w:val="nil"/>
              <w:left w:val="nil"/>
              <w:bottom w:val="nil"/>
              <w:right w:val="nil"/>
            </w:tcBorders>
            <w:shd w:val="clear" w:color="000000" w:fill="FFFFFF"/>
            <w:noWrap/>
            <w:vAlign w:val="bottom"/>
            <w:hideMark/>
          </w:tcPr>
          <w:p w14:paraId="4FF764F5"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w:t>
            </w:r>
          </w:p>
        </w:tc>
        <w:tc>
          <w:tcPr>
            <w:tcW w:w="1136" w:type="dxa"/>
            <w:gridSpan w:val="2"/>
            <w:tcBorders>
              <w:top w:val="nil"/>
              <w:left w:val="nil"/>
              <w:bottom w:val="nil"/>
              <w:right w:val="nil"/>
            </w:tcBorders>
            <w:shd w:val="clear" w:color="000000" w:fill="FFFFFF"/>
            <w:noWrap/>
            <w:vAlign w:val="bottom"/>
            <w:hideMark/>
          </w:tcPr>
          <w:p w14:paraId="60E8EE4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630A33D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0.169</w:t>
            </w:r>
          </w:p>
        </w:tc>
        <w:tc>
          <w:tcPr>
            <w:tcW w:w="1176" w:type="dxa"/>
            <w:gridSpan w:val="2"/>
            <w:tcBorders>
              <w:top w:val="nil"/>
              <w:left w:val="nil"/>
              <w:bottom w:val="nil"/>
              <w:right w:val="nil"/>
            </w:tcBorders>
            <w:shd w:val="clear" w:color="000000" w:fill="FFFFFF"/>
            <w:noWrap/>
            <w:vAlign w:val="bottom"/>
            <w:hideMark/>
          </w:tcPr>
          <w:p w14:paraId="1973D0B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0.082</w:t>
            </w:r>
          </w:p>
        </w:tc>
        <w:tc>
          <w:tcPr>
            <w:tcW w:w="1112" w:type="dxa"/>
            <w:gridSpan w:val="2"/>
            <w:tcBorders>
              <w:top w:val="nil"/>
              <w:left w:val="nil"/>
              <w:bottom w:val="nil"/>
              <w:right w:val="nil"/>
            </w:tcBorders>
            <w:shd w:val="clear" w:color="000000" w:fill="FFFFFF"/>
            <w:noWrap/>
            <w:vAlign w:val="bottom"/>
            <w:hideMark/>
          </w:tcPr>
          <w:p w14:paraId="0B19ED5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-0.047</w:t>
            </w:r>
          </w:p>
        </w:tc>
      </w:tr>
      <w:tr w:rsidR="008C3AE9" w:rsidRPr="008C3AE9" w14:paraId="4682C454"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222B5F30"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Rural Electricity Access</w:t>
            </w:r>
          </w:p>
        </w:tc>
        <w:tc>
          <w:tcPr>
            <w:tcW w:w="1136" w:type="dxa"/>
            <w:gridSpan w:val="2"/>
            <w:tcBorders>
              <w:top w:val="nil"/>
              <w:left w:val="nil"/>
              <w:bottom w:val="nil"/>
              <w:right w:val="nil"/>
            </w:tcBorders>
            <w:shd w:val="clear" w:color="000000" w:fill="FFFFFF"/>
            <w:noWrap/>
            <w:vAlign w:val="bottom"/>
            <w:hideMark/>
          </w:tcPr>
          <w:p w14:paraId="74EF74C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2160B77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w:t>
            </w:r>
          </w:p>
        </w:tc>
        <w:tc>
          <w:tcPr>
            <w:tcW w:w="1176" w:type="dxa"/>
            <w:gridSpan w:val="2"/>
            <w:tcBorders>
              <w:top w:val="nil"/>
              <w:left w:val="nil"/>
              <w:bottom w:val="nil"/>
              <w:right w:val="nil"/>
            </w:tcBorders>
            <w:shd w:val="clear" w:color="000000" w:fill="FFFFFF"/>
            <w:noWrap/>
            <w:vAlign w:val="bottom"/>
            <w:hideMark/>
          </w:tcPr>
          <w:p w14:paraId="166A0AF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-0.272</w:t>
            </w:r>
          </w:p>
        </w:tc>
        <w:tc>
          <w:tcPr>
            <w:tcW w:w="1112" w:type="dxa"/>
            <w:gridSpan w:val="2"/>
            <w:tcBorders>
              <w:top w:val="nil"/>
              <w:left w:val="nil"/>
              <w:bottom w:val="nil"/>
              <w:right w:val="nil"/>
            </w:tcBorders>
            <w:shd w:val="clear" w:color="000000" w:fill="FFFFFF"/>
            <w:noWrap/>
            <w:vAlign w:val="bottom"/>
            <w:hideMark/>
          </w:tcPr>
          <w:p w14:paraId="7D32B5C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0.046</w:t>
            </w:r>
          </w:p>
        </w:tc>
        <w:tc>
          <w:tcPr>
            <w:tcW w:w="1136" w:type="dxa"/>
            <w:gridSpan w:val="2"/>
            <w:tcBorders>
              <w:top w:val="nil"/>
              <w:left w:val="nil"/>
              <w:bottom w:val="nil"/>
              <w:right w:val="nil"/>
            </w:tcBorders>
            <w:shd w:val="clear" w:color="000000" w:fill="FFFFFF"/>
            <w:noWrap/>
            <w:vAlign w:val="bottom"/>
            <w:hideMark/>
          </w:tcPr>
          <w:p w14:paraId="1D74D1F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25A8950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0.007</w:t>
            </w:r>
          </w:p>
        </w:tc>
        <w:tc>
          <w:tcPr>
            <w:tcW w:w="1176" w:type="dxa"/>
            <w:gridSpan w:val="2"/>
            <w:tcBorders>
              <w:top w:val="nil"/>
              <w:left w:val="nil"/>
              <w:bottom w:val="nil"/>
              <w:right w:val="nil"/>
            </w:tcBorders>
            <w:shd w:val="clear" w:color="000000" w:fill="FFFFFF"/>
            <w:noWrap/>
            <w:vAlign w:val="bottom"/>
            <w:hideMark/>
          </w:tcPr>
          <w:p w14:paraId="4F69F74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-0.175</w:t>
            </w:r>
          </w:p>
        </w:tc>
        <w:tc>
          <w:tcPr>
            <w:tcW w:w="1112" w:type="dxa"/>
            <w:gridSpan w:val="2"/>
            <w:tcBorders>
              <w:top w:val="nil"/>
              <w:left w:val="nil"/>
              <w:bottom w:val="nil"/>
              <w:right w:val="nil"/>
            </w:tcBorders>
            <w:shd w:val="clear" w:color="000000" w:fill="FFFFFF"/>
            <w:noWrap/>
            <w:vAlign w:val="bottom"/>
            <w:hideMark/>
          </w:tcPr>
          <w:p w14:paraId="2F40081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0.026</w:t>
            </w:r>
          </w:p>
        </w:tc>
      </w:tr>
      <w:tr w:rsidR="008C3AE9" w:rsidRPr="008C3AE9" w14:paraId="703ED2EA" w14:textId="77777777" w:rsidTr="008C3AE9">
        <w:trPr>
          <w:divId w:val="455031951"/>
          <w:trHeight w:val="255"/>
        </w:trPr>
        <w:tc>
          <w:tcPr>
            <w:tcW w:w="4180" w:type="dxa"/>
            <w:tcBorders>
              <w:top w:val="nil"/>
              <w:left w:val="nil"/>
              <w:bottom w:val="nil"/>
              <w:right w:val="nil"/>
            </w:tcBorders>
            <w:shd w:val="clear" w:color="000000" w:fill="FFFFFF"/>
            <w:noWrap/>
            <w:vAlign w:val="center"/>
            <w:hideMark/>
          </w:tcPr>
          <w:p w14:paraId="21B294EC"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Parliamentarians and Legislators, % women</w:t>
            </w:r>
          </w:p>
        </w:tc>
        <w:tc>
          <w:tcPr>
            <w:tcW w:w="1136" w:type="dxa"/>
            <w:gridSpan w:val="2"/>
            <w:tcBorders>
              <w:top w:val="nil"/>
              <w:left w:val="nil"/>
              <w:bottom w:val="nil"/>
              <w:right w:val="nil"/>
            </w:tcBorders>
            <w:shd w:val="clear" w:color="000000" w:fill="FFFFFF"/>
            <w:noWrap/>
            <w:vAlign w:val="bottom"/>
            <w:hideMark/>
          </w:tcPr>
          <w:p w14:paraId="5B07E35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58AA91D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0.017</w:t>
            </w:r>
          </w:p>
        </w:tc>
        <w:tc>
          <w:tcPr>
            <w:tcW w:w="1176" w:type="dxa"/>
            <w:gridSpan w:val="2"/>
            <w:tcBorders>
              <w:top w:val="nil"/>
              <w:left w:val="nil"/>
              <w:bottom w:val="nil"/>
              <w:right w:val="nil"/>
            </w:tcBorders>
            <w:shd w:val="clear" w:color="000000" w:fill="FFFFFF"/>
            <w:noWrap/>
            <w:vAlign w:val="bottom"/>
            <w:hideMark/>
          </w:tcPr>
          <w:p w14:paraId="22A9FF9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0.212</w:t>
            </w:r>
          </w:p>
        </w:tc>
        <w:tc>
          <w:tcPr>
            <w:tcW w:w="1112" w:type="dxa"/>
            <w:gridSpan w:val="2"/>
            <w:tcBorders>
              <w:top w:val="nil"/>
              <w:left w:val="nil"/>
              <w:bottom w:val="nil"/>
              <w:right w:val="nil"/>
            </w:tcBorders>
            <w:shd w:val="clear" w:color="000000" w:fill="FFFFFF"/>
            <w:noWrap/>
            <w:vAlign w:val="bottom"/>
            <w:hideMark/>
          </w:tcPr>
          <w:p w14:paraId="6EBFCBF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-0.065</w:t>
            </w:r>
          </w:p>
        </w:tc>
        <w:tc>
          <w:tcPr>
            <w:tcW w:w="1136" w:type="dxa"/>
            <w:gridSpan w:val="2"/>
            <w:tcBorders>
              <w:top w:val="nil"/>
              <w:left w:val="nil"/>
              <w:bottom w:val="nil"/>
              <w:right w:val="nil"/>
            </w:tcBorders>
            <w:shd w:val="clear" w:color="000000" w:fill="FFFFFF"/>
            <w:noWrap/>
            <w:vAlign w:val="bottom"/>
            <w:hideMark/>
          </w:tcPr>
          <w:p w14:paraId="4F011A8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7863655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0.025</w:t>
            </w:r>
          </w:p>
        </w:tc>
        <w:tc>
          <w:tcPr>
            <w:tcW w:w="1176" w:type="dxa"/>
            <w:gridSpan w:val="2"/>
            <w:tcBorders>
              <w:top w:val="nil"/>
              <w:left w:val="nil"/>
              <w:bottom w:val="nil"/>
              <w:right w:val="nil"/>
            </w:tcBorders>
            <w:shd w:val="clear" w:color="000000" w:fill="FFFFFF"/>
            <w:noWrap/>
            <w:vAlign w:val="bottom"/>
            <w:hideMark/>
          </w:tcPr>
          <w:p w14:paraId="183297B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0.143</w:t>
            </w:r>
          </w:p>
        </w:tc>
        <w:tc>
          <w:tcPr>
            <w:tcW w:w="1112" w:type="dxa"/>
            <w:gridSpan w:val="2"/>
            <w:tcBorders>
              <w:top w:val="nil"/>
              <w:left w:val="nil"/>
              <w:bottom w:val="nil"/>
              <w:right w:val="nil"/>
            </w:tcBorders>
            <w:shd w:val="clear" w:color="000000" w:fill="FFFFFF"/>
            <w:noWrap/>
            <w:vAlign w:val="bottom"/>
            <w:hideMark/>
          </w:tcPr>
          <w:p w14:paraId="67F2FF7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-0.052</w:t>
            </w:r>
          </w:p>
        </w:tc>
      </w:tr>
      <w:tr w:rsidR="008C3AE9" w:rsidRPr="008C3AE9" w14:paraId="572EEC98"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352E49AE"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CUTOFF</w:t>
            </w:r>
          </w:p>
        </w:tc>
        <w:tc>
          <w:tcPr>
            <w:tcW w:w="1136" w:type="dxa"/>
            <w:gridSpan w:val="2"/>
            <w:tcBorders>
              <w:top w:val="nil"/>
              <w:left w:val="nil"/>
              <w:bottom w:val="nil"/>
              <w:right w:val="nil"/>
            </w:tcBorders>
            <w:shd w:val="clear" w:color="000000" w:fill="FFFFFF"/>
            <w:noWrap/>
            <w:vAlign w:val="bottom"/>
            <w:hideMark/>
          </w:tcPr>
          <w:p w14:paraId="4BCD56A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1F811DB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-0.012</w:t>
            </w:r>
          </w:p>
        </w:tc>
        <w:tc>
          <w:tcPr>
            <w:tcW w:w="1176" w:type="dxa"/>
            <w:gridSpan w:val="2"/>
            <w:tcBorders>
              <w:top w:val="nil"/>
              <w:left w:val="nil"/>
              <w:bottom w:val="nil"/>
              <w:right w:val="nil"/>
            </w:tcBorders>
            <w:shd w:val="clear" w:color="000000" w:fill="FFFFFF"/>
            <w:noWrap/>
            <w:vAlign w:val="bottom"/>
            <w:hideMark/>
          </w:tcPr>
          <w:p w14:paraId="375E4E1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0.372</w:t>
            </w:r>
          </w:p>
        </w:tc>
        <w:tc>
          <w:tcPr>
            <w:tcW w:w="1112" w:type="dxa"/>
            <w:gridSpan w:val="2"/>
            <w:tcBorders>
              <w:top w:val="nil"/>
              <w:left w:val="nil"/>
              <w:bottom w:val="nil"/>
              <w:right w:val="nil"/>
            </w:tcBorders>
            <w:shd w:val="clear" w:color="000000" w:fill="FFFFFF"/>
            <w:noWrap/>
            <w:vAlign w:val="bottom"/>
            <w:hideMark/>
          </w:tcPr>
          <w:p w14:paraId="37E6F3A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-0.003</w:t>
            </w:r>
          </w:p>
        </w:tc>
        <w:tc>
          <w:tcPr>
            <w:tcW w:w="1136" w:type="dxa"/>
            <w:gridSpan w:val="2"/>
            <w:tcBorders>
              <w:top w:val="nil"/>
              <w:left w:val="nil"/>
              <w:bottom w:val="nil"/>
              <w:right w:val="nil"/>
            </w:tcBorders>
            <w:shd w:val="clear" w:color="000000" w:fill="FFFFFF"/>
            <w:noWrap/>
            <w:vAlign w:val="bottom"/>
            <w:hideMark/>
          </w:tcPr>
          <w:p w14:paraId="321DBD4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39F26F4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-0.001</w:t>
            </w:r>
          </w:p>
        </w:tc>
        <w:tc>
          <w:tcPr>
            <w:tcW w:w="1176" w:type="dxa"/>
            <w:gridSpan w:val="2"/>
            <w:tcBorders>
              <w:top w:val="nil"/>
              <w:left w:val="nil"/>
              <w:bottom w:val="nil"/>
              <w:right w:val="nil"/>
            </w:tcBorders>
            <w:shd w:val="clear" w:color="000000" w:fill="FFFFFF"/>
            <w:noWrap/>
            <w:vAlign w:val="bottom"/>
            <w:hideMark/>
          </w:tcPr>
          <w:p w14:paraId="24A402F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0.386</w:t>
            </w:r>
          </w:p>
        </w:tc>
        <w:tc>
          <w:tcPr>
            <w:tcW w:w="1112" w:type="dxa"/>
            <w:gridSpan w:val="2"/>
            <w:tcBorders>
              <w:top w:val="nil"/>
              <w:left w:val="nil"/>
              <w:bottom w:val="nil"/>
              <w:right w:val="nil"/>
            </w:tcBorders>
            <w:shd w:val="clear" w:color="000000" w:fill="FFFFFF"/>
            <w:noWrap/>
            <w:vAlign w:val="bottom"/>
            <w:hideMark/>
          </w:tcPr>
          <w:p w14:paraId="4313519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w:t>
            </w:r>
          </w:p>
        </w:tc>
      </w:tr>
      <w:tr w:rsidR="008C3AE9" w:rsidRPr="008C3AE9" w14:paraId="34E924EA"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3E376706"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Total</w:t>
            </w:r>
          </w:p>
        </w:tc>
        <w:tc>
          <w:tcPr>
            <w:tcW w:w="1136" w:type="dxa"/>
            <w:gridSpan w:val="2"/>
            <w:tcBorders>
              <w:top w:val="nil"/>
              <w:left w:val="nil"/>
              <w:bottom w:val="nil"/>
              <w:right w:val="nil"/>
            </w:tcBorders>
            <w:shd w:val="clear" w:color="000000" w:fill="FFFFFF"/>
            <w:noWrap/>
            <w:vAlign w:val="bottom"/>
            <w:hideMark/>
          </w:tcPr>
          <w:p w14:paraId="6E7828E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12C6B41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0.741</w:t>
            </w:r>
          </w:p>
        </w:tc>
        <w:tc>
          <w:tcPr>
            <w:tcW w:w="1176" w:type="dxa"/>
            <w:gridSpan w:val="2"/>
            <w:tcBorders>
              <w:top w:val="nil"/>
              <w:left w:val="nil"/>
              <w:bottom w:val="nil"/>
              <w:right w:val="nil"/>
            </w:tcBorders>
            <w:shd w:val="clear" w:color="000000" w:fill="FFFFFF"/>
            <w:noWrap/>
            <w:vAlign w:val="bottom"/>
            <w:hideMark/>
          </w:tcPr>
          <w:p w14:paraId="6BF8700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0.219</w:t>
            </w:r>
          </w:p>
        </w:tc>
        <w:tc>
          <w:tcPr>
            <w:tcW w:w="1112" w:type="dxa"/>
            <w:gridSpan w:val="2"/>
            <w:tcBorders>
              <w:top w:val="nil"/>
              <w:left w:val="nil"/>
              <w:bottom w:val="nil"/>
              <w:right w:val="nil"/>
            </w:tcBorders>
            <w:shd w:val="clear" w:color="000000" w:fill="FFFFFF"/>
            <w:noWrap/>
            <w:vAlign w:val="bottom"/>
            <w:hideMark/>
          </w:tcPr>
          <w:p w14:paraId="34EDF4C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-0.163</w:t>
            </w:r>
          </w:p>
        </w:tc>
        <w:tc>
          <w:tcPr>
            <w:tcW w:w="1136" w:type="dxa"/>
            <w:gridSpan w:val="2"/>
            <w:tcBorders>
              <w:top w:val="nil"/>
              <w:left w:val="nil"/>
              <w:bottom w:val="nil"/>
              <w:right w:val="nil"/>
            </w:tcBorders>
            <w:shd w:val="clear" w:color="000000" w:fill="FFFFFF"/>
            <w:noWrap/>
            <w:vAlign w:val="bottom"/>
            <w:hideMark/>
          </w:tcPr>
          <w:p w14:paraId="27D3B66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0008836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0.618</w:t>
            </w:r>
          </w:p>
        </w:tc>
        <w:tc>
          <w:tcPr>
            <w:tcW w:w="1176" w:type="dxa"/>
            <w:gridSpan w:val="2"/>
            <w:tcBorders>
              <w:top w:val="nil"/>
              <w:left w:val="nil"/>
              <w:bottom w:val="nil"/>
              <w:right w:val="nil"/>
            </w:tcBorders>
            <w:shd w:val="clear" w:color="000000" w:fill="FFFFFF"/>
            <w:noWrap/>
            <w:vAlign w:val="bottom"/>
            <w:hideMark/>
          </w:tcPr>
          <w:p w14:paraId="61A5C9E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0.185</w:t>
            </w:r>
          </w:p>
        </w:tc>
        <w:tc>
          <w:tcPr>
            <w:tcW w:w="1112" w:type="dxa"/>
            <w:gridSpan w:val="2"/>
            <w:tcBorders>
              <w:top w:val="nil"/>
              <w:left w:val="nil"/>
              <w:bottom w:val="nil"/>
              <w:right w:val="nil"/>
            </w:tcBorders>
            <w:shd w:val="clear" w:color="000000" w:fill="FFFFFF"/>
            <w:noWrap/>
            <w:vAlign w:val="bottom"/>
            <w:hideMark/>
          </w:tcPr>
          <w:p w14:paraId="30407C3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-0.132</w:t>
            </w:r>
          </w:p>
        </w:tc>
      </w:tr>
      <w:tr w:rsidR="008C3AE9" w:rsidRPr="008C3AE9" w14:paraId="0E0F3000"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6F39F8ED"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Differential</w:t>
            </w:r>
          </w:p>
        </w:tc>
        <w:tc>
          <w:tcPr>
            <w:tcW w:w="1136" w:type="dxa"/>
            <w:gridSpan w:val="2"/>
            <w:tcBorders>
              <w:top w:val="nil"/>
              <w:left w:val="nil"/>
              <w:bottom w:val="nil"/>
              <w:right w:val="nil"/>
            </w:tcBorders>
            <w:shd w:val="clear" w:color="000000" w:fill="FFFFFF"/>
            <w:noWrap/>
            <w:vAlign w:val="bottom"/>
            <w:hideMark/>
          </w:tcPr>
          <w:p w14:paraId="1E0F86B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w:t>
            </w:r>
          </w:p>
        </w:tc>
        <w:tc>
          <w:tcPr>
            <w:tcW w:w="1284" w:type="dxa"/>
            <w:gridSpan w:val="2"/>
            <w:tcBorders>
              <w:top w:val="nil"/>
              <w:left w:val="nil"/>
              <w:bottom w:val="nil"/>
              <w:right w:val="nil"/>
            </w:tcBorders>
            <w:shd w:val="clear" w:color="000000" w:fill="FFFFFF"/>
            <w:noWrap/>
            <w:vAlign w:val="bottom"/>
            <w:hideMark/>
          </w:tcPr>
          <w:p w14:paraId="54B02CF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05B9DDB2"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467AA09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nil"/>
              <w:left w:val="nil"/>
              <w:bottom w:val="nil"/>
              <w:right w:val="nil"/>
            </w:tcBorders>
            <w:shd w:val="clear" w:color="000000" w:fill="FFFFFF"/>
            <w:noWrap/>
            <w:vAlign w:val="bottom"/>
            <w:hideMark/>
          </w:tcPr>
          <w:p w14:paraId="696FEA7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w:t>
            </w:r>
          </w:p>
        </w:tc>
        <w:tc>
          <w:tcPr>
            <w:tcW w:w="1284" w:type="dxa"/>
            <w:gridSpan w:val="2"/>
            <w:tcBorders>
              <w:top w:val="nil"/>
              <w:left w:val="nil"/>
              <w:bottom w:val="nil"/>
              <w:right w:val="nil"/>
            </w:tcBorders>
            <w:shd w:val="clear" w:color="000000" w:fill="FFFFFF"/>
            <w:noWrap/>
            <w:vAlign w:val="bottom"/>
            <w:hideMark/>
          </w:tcPr>
          <w:p w14:paraId="0583C69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2B66F23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2765F90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r>
      <w:tr w:rsidR="008C3AE9" w:rsidRPr="008C3AE9" w14:paraId="71DAD752"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77B13B26"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Prediction_1</w:t>
            </w:r>
          </w:p>
        </w:tc>
        <w:tc>
          <w:tcPr>
            <w:tcW w:w="1136" w:type="dxa"/>
            <w:gridSpan w:val="2"/>
            <w:tcBorders>
              <w:top w:val="nil"/>
              <w:left w:val="nil"/>
              <w:bottom w:val="nil"/>
              <w:right w:val="nil"/>
            </w:tcBorders>
            <w:shd w:val="clear" w:color="000000" w:fill="FFFFFF"/>
            <w:noWrap/>
            <w:vAlign w:val="bottom"/>
            <w:hideMark/>
          </w:tcPr>
          <w:p w14:paraId="6537282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4.262</w:t>
            </w:r>
          </w:p>
        </w:tc>
        <w:tc>
          <w:tcPr>
            <w:tcW w:w="1284" w:type="dxa"/>
            <w:gridSpan w:val="2"/>
            <w:tcBorders>
              <w:top w:val="nil"/>
              <w:left w:val="nil"/>
              <w:bottom w:val="nil"/>
              <w:right w:val="nil"/>
            </w:tcBorders>
            <w:shd w:val="clear" w:color="000000" w:fill="FFFFFF"/>
            <w:noWrap/>
            <w:vAlign w:val="bottom"/>
            <w:hideMark/>
          </w:tcPr>
          <w:p w14:paraId="100B2F4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1820FCC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448F07A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nil"/>
              <w:left w:val="nil"/>
              <w:bottom w:val="nil"/>
              <w:right w:val="nil"/>
            </w:tcBorders>
            <w:shd w:val="clear" w:color="000000" w:fill="FFFFFF"/>
            <w:noWrap/>
            <w:vAlign w:val="bottom"/>
            <w:hideMark/>
          </w:tcPr>
          <w:p w14:paraId="3E269BC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4.432</w:t>
            </w:r>
          </w:p>
        </w:tc>
        <w:tc>
          <w:tcPr>
            <w:tcW w:w="1284" w:type="dxa"/>
            <w:gridSpan w:val="2"/>
            <w:tcBorders>
              <w:top w:val="nil"/>
              <w:left w:val="nil"/>
              <w:bottom w:val="nil"/>
              <w:right w:val="nil"/>
            </w:tcBorders>
            <w:shd w:val="clear" w:color="000000" w:fill="FFFFFF"/>
            <w:noWrap/>
            <w:vAlign w:val="bottom"/>
            <w:hideMark/>
          </w:tcPr>
          <w:p w14:paraId="6A337EB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5490B5E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4EA02C9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r>
      <w:tr w:rsidR="008C3AE9" w:rsidRPr="008C3AE9" w14:paraId="48D3BE3E"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73834F69"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Prediction_2</w:t>
            </w:r>
          </w:p>
        </w:tc>
        <w:tc>
          <w:tcPr>
            <w:tcW w:w="1136" w:type="dxa"/>
            <w:gridSpan w:val="2"/>
            <w:tcBorders>
              <w:top w:val="nil"/>
              <w:left w:val="nil"/>
              <w:bottom w:val="nil"/>
              <w:right w:val="nil"/>
            </w:tcBorders>
            <w:shd w:val="clear" w:color="000000" w:fill="FFFFFF"/>
            <w:noWrap/>
            <w:vAlign w:val="bottom"/>
            <w:hideMark/>
          </w:tcPr>
          <w:p w14:paraId="0F8A5B45"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3.466</w:t>
            </w:r>
          </w:p>
        </w:tc>
        <w:tc>
          <w:tcPr>
            <w:tcW w:w="1284" w:type="dxa"/>
            <w:gridSpan w:val="2"/>
            <w:tcBorders>
              <w:top w:val="nil"/>
              <w:left w:val="nil"/>
              <w:bottom w:val="nil"/>
              <w:right w:val="nil"/>
            </w:tcBorders>
            <w:shd w:val="clear" w:color="000000" w:fill="FFFFFF"/>
            <w:noWrap/>
            <w:vAlign w:val="bottom"/>
            <w:hideMark/>
          </w:tcPr>
          <w:p w14:paraId="49DC1DB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1C6DB3E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379C63E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nil"/>
              <w:left w:val="nil"/>
              <w:bottom w:val="nil"/>
              <w:right w:val="nil"/>
            </w:tcBorders>
            <w:shd w:val="clear" w:color="000000" w:fill="FFFFFF"/>
            <w:noWrap/>
            <w:vAlign w:val="bottom"/>
            <w:hideMark/>
          </w:tcPr>
          <w:p w14:paraId="05B0DEA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3.761</w:t>
            </w:r>
          </w:p>
        </w:tc>
        <w:tc>
          <w:tcPr>
            <w:tcW w:w="1284" w:type="dxa"/>
            <w:gridSpan w:val="2"/>
            <w:tcBorders>
              <w:top w:val="nil"/>
              <w:left w:val="nil"/>
              <w:bottom w:val="nil"/>
              <w:right w:val="nil"/>
            </w:tcBorders>
            <w:shd w:val="clear" w:color="000000" w:fill="FFFFFF"/>
            <w:noWrap/>
            <w:vAlign w:val="bottom"/>
            <w:hideMark/>
          </w:tcPr>
          <w:p w14:paraId="6D5B32D7"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5EBA517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2CD37F9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r>
      <w:tr w:rsidR="008C3AE9" w:rsidRPr="008C3AE9" w14:paraId="003C2663"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7E36354C"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Difference</w:t>
            </w:r>
          </w:p>
        </w:tc>
        <w:tc>
          <w:tcPr>
            <w:tcW w:w="1136" w:type="dxa"/>
            <w:gridSpan w:val="2"/>
            <w:tcBorders>
              <w:top w:val="nil"/>
              <w:left w:val="nil"/>
              <w:bottom w:val="nil"/>
              <w:right w:val="nil"/>
            </w:tcBorders>
            <w:shd w:val="clear" w:color="000000" w:fill="FFFFFF"/>
            <w:noWrap/>
            <w:vAlign w:val="bottom"/>
            <w:hideMark/>
          </w:tcPr>
          <w:p w14:paraId="00A7B09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0.797</w:t>
            </w:r>
          </w:p>
        </w:tc>
        <w:tc>
          <w:tcPr>
            <w:tcW w:w="1284" w:type="dxa"/>
            <w:gridSpan w:val="2"/>
            <w:tcBorders>
              <w:top w:val="nil"/>
              <w:left w:val="nil"/>
              <w:bottom w:val="nil"/>
              <w:right w:val="nil"/>
            </w:tcBorders>
            <w:shd w:val="clear" w:color="000000" w:fill="FFFFFF"/>
            <w:noWrap/>
            <w:vAlign w:val="bottom"/>
            <w:hideMark/>
          </w:tcPr>
          <w:p w14:paraId="3C2DDCE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4681750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6F732EF5"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nil"/>
              <w:left w:val="nil"/>
              <w:bottom w:val="nil"/>
              <w:right w:val="nil"/>
            </w:tcBorders>
            <w:shd w:val="clear" w:color="000000" w:fill="FFFFFF"/>
            <w:noWrap/>
            <w:vAlign w:val="bottom"/>
            <w:hideMark/>
          </w:tcPr>
          <w:p w14:paraId="30DD6DA8"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0.67</w:t>
            </w:r>
          </w:p>
        </w:tc>
        <w:tc>
          <w:tcPr>
            <w:tcW w:w="1284" w:type="dxa"/>
            <w:gridSpan w:val="2"/>
            <w:tcBorders>
              <w:top w:val="nil"/>
              <w:left w:val="nil"/>
              <w:bottom w:val="nil"/>
              <w:right w:val="nil"/>
            </w:tcBorders>
            <w:shd w:val="clear" w:color="000000" w:fill="FFFFFF"/>
            <w:noWrap/>
            <w:vAlign w:val="bottom"/>
            <w:hideMark/>
          </w:tcPr>
          <w:p w14:paraId="39C49B3A"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4683C7B4"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2" w:type="dxa"/>
            <w:gridSpan w:val="2"/>
            <w:tcBorders>
              <w:top w:val="nil"/>
              <w:left w:val="nil"/>
              <w:bottom w:val="nil"/>
              <w:right w:val="nil"/>
            </w:tcBorders>
            <w:shd w:val="clear" w:color="000000" w:fill="FFFFFF"/>
            <w:noWrap/>
            <w:vAlign w:val="bottom"/>
            <w:hideMark/>
          </w:tcPr>
          <w:p w14:paraId="489110BE"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r>
      <w:tr w:rsidR="008C3AE9" w:rsidRPr="008C3AE9" w14:paraId="31E12750" w14:textId="77777777" w:rsidTr="008C3AE9">
        <w:trPr>
          <w:divId w:val="455031951"/>
          <w:trHeight w:val="255"/>
        </w:trPr>
        <w:tc>
          <w:tcPr>
            <w:tcW w:w="4180" w:type="dxa"/>
            <w:tcBorders>
              <w:top w:val="nil"/>
              <w:left w:val="nil"/>
              <w:bottom w:val="nil"/>
              <w:right w:val="nil"/>
            </w:tcBorders>
            <w:shd w:val="clear" w:color="000000" w:fill="FFFFFF"/>
            <w:noWrap/>
            <w:vAlign w:val="bottom"/>
            <w:hideMark/>
          </w:tcPr>
          <w:p w14:paraId="1E9963E2"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Constant</w:t>
            </w:r>
          </w:p>
        </w:tc>
        <w:tc>
          <w:tcPr>
            <w:tcW w:w="1136" w:type="dxa"/>
            <w:gridSpan w:val="2"/>
            <w:tcBorders>
              <w:top w:val="nil"/>
              <w:left w:val="nil"/>
              <w:bottom w:val="nil"/>
              <w:right w:val="nil"/>
            </w:tcBorders>
            <w:shd w:val="clear" w:color="000000" w:fill="FFFFFF"/>
            <w:noWrap/>
            <w:vAlign w:val="bottom"/>
            <w:hideMark/>
          </w:tcPr>
          <w:p w14:paraId="7D99864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05C059D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3F4321B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-1.089</w:t>
            </w:r>
          </w:p>
        </w:tc>
        <w:tc>
          <w:tcPr>
            <w:tcW w:w="1112" w:type="dxa"/>
            <w:gridSpan w:val="2"/>
            <w:tcBorders>
              <w:top w:val="nil"/>
              <w:left w:val="nil"/>
              <w:bottom w:val="nil"/>
              <w:right w:val="nil"/>
            </w:tcBorders>
            <w:shd w:val="clear" w:color="000000" w:fill="FFFFFF"/>
            <w:noWrap/>
            <w:vAlign w:val="bottom"/>
            <w:hideMark/>
          </w:tcPr>
          <w:p w14:paraId="0D711B16"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36" w:type="dxa"/>
            <w:gridSpan w:val="2"/>
            <w:tcBorders>
              <w:top w:val="nil"/>
              <w:left w:val="nil"/>
              <w:bottom w:val="nil"/>
              <w:right w:val="nil"/>
            </w:tcBorders>
            <w:shd w:val="clear" w:color="000000" w:fill="FFFFFF"/>
            <w:noWrap/>
            <w:vAlign w:val="bottom"/>
            <w:hideMark/>
          </w:tcPr>
          <w:p w14:paraId="4728D7E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04EFD2F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76" w:type="dxa"/>
            <w:gridSpan w:val="2"/>
            <w:tcBorders>
              <w:top w:val="nil"/>
              <w:left w:val="nil"/>
              <w:bottom w:val="nil"/>
              <w:right w:val="nil"/>
            </w:tcBorders>
            <w:shd w:val="clear" w:color="000000" w:fill="FFFFFF"/>
            <w:noWrap/>
            <w:vAlign w:val="bottom"/>
            <w:hideMark/>
          </w:tcPr>
          <w:p w14:paraId="7F7D5F5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-0.829</w:t>
            </w:r>
          </w:p>
        </w:tc>
        <w:tc>
          <w:tcPr>
            <w:tcW w:w="1112" w:type="dxa"/>
            <w:gridSpan w:val="2"/>
            <w:tcBorders>
              <w:top w:val="nil"/>
              <w:left w:val="nil"/>
              <w:bottom w:val="nil"/>
              <w:right w:val="nil"/>
            </w:tcBorders>
            <w:shd w:val="clear" w:color="000000" w:fill="FFFFFF"/>
            <w:noWrap/>
            <w:vAlign w:val="bottom"/>
            <w:hideMark/>
          </w:tcPr>
          <w:p w14:paraId="07BE7D7F"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 </w:t>
            </w:r>
          </w:p>
        </w:tc>
      </w:tr>
      <w:tr w:rsidR="008C3AE9" w:rsidRPr="008C3AE9" w14:paraId="0DB249C7" w14:textId="77777777" w:rsidTr="008C3AE9">
        <w:trPr>
          <w:divId w:val="455031951"/>
          <w:trHeight w:val="255"/>
        </w:trPr>
        <w:tc>
          <w:tcPr>
            <w:tcW w:w="4180" w:type="dxa"/>
            <w:tcBorders>
              <w:top w:val="nil"/>
              <w:left w:val="nil"/>
              <w:bottom w:val="single" w:sz="4" w:space="0" w:color="000000"/>
              <w:right w:val="nil"/>
            </w:tcBorders>
            <w:shd w:val="clear" w:color="000000" w:fill="FFFFFF"/>
            <w:noWrap/>
            <w:vAlign w:val="bottom"/>
            <w:hideMark/>
          </w:tcPr>
          <w:p w14:paraId="69D8542A"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Observations</w:t>
            </w:r>
          </w:p>
        </w:tc>
        <w:tc>
          <w:tcPr>
            <w:tcW w:w="1136" w:type="dxa"/>
            <w:gridSpan w:val="2"/>
            <w:tcBorders>
              <w:top w:val="nil"/>
              <w:left w:val="nil"/>
              <w:bottom w:val="single" w:sz="4" w:space="0" w:color="000000"/>
              <w:right w:val="nil"/>
            </w:tcBorders>
            <w:shd w:val="clear" w:color="000000" w:fill="FFFFFF"/>
            <w:noWrap/>
            <w:vAlign w:val="bottom"/>
            <w:hideMark/>
          </w:tcPr>
          <w:p w14:paraId="2B21C8C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283</w:t>
            </w:r>
          </w:p>
        </w:tc>
        <w:tc>
          <w:tcPr>
            <w:tcW w:w="1284" w:type="dxa"/>
            <w:gridSpan w:val="2"/>
            <w:tcBorders>
              <w:top w:val="nil"/>
              <w:left w:val="nil"/>
              <w:bottom w:val="single" w:sz="4" w:space="0" w:color="000000"/>
              <w:right w:val="nil"/>
            </w:tcBorders>
            <w:shd w:val="clear" w:color="000000" w:fill="FFFFFF"/>
            <w:noWrap/>
            <w:vAlign w:val="bottom"/>
            <w:hideMark/>
          </w:tcPr>
          <w:p w14:paraId="4A20DF0C"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283</w:t>
            </w:r>
          </w:p>
        </w:tc>
        <w:tc>
          <w:tcPr>
            <w:tcW w:w="1176" w:type="dxa"/>
            <w:gridSpan w:val="2"/>
            <w:tcBorders>
              <w:top w:val="nil"/>
              <w:left w:val="nil"/>
              <w:bottom w:val="single" w:sz="4" w:space="0" w:color="000000"/>
              <w:right w:val="nil"/>
            </w:tcBorders>
            <w:shd w:val="clear" w:color="000000" w:fill="FFFFFF"/>
            <w:noWrap/>
            <w:vAlign w:val="bottom"/>
            <w:hideMark/>
          </w:tcPr>
          <w:p w14:paraId="6A19BE40"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283</w:t>
            </w:r>
          </w:p>
        </w:tc>
        <w:tc>
          <w:tcPr>
            <w:tcW w:w="1112" w:type="dxa"/>
            <w:gridSpan w:val="2"/>
            <w:tcBorders>
              <w:top w:val="nil"/>
              <w:left w:val="nil"/>
              <w:bottom w:val="single" w:sz="4" w:space="0" w:color="000000"/>
              <w:right w:val="nil"/>
            </w:tcBorders>
            <w:shd w:val="clear" w:color="000000" w:fill="FFFFFF"/>
            <w:noWrap/>
            <w:vAlign w:val="bottom"/>
            <w:hideMark/>
          </w:tcPr>
          <w:p w14:paraId="78A496DB"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283</w:t>
            </w:r>
          </w:p>
        </w:tc>
        <w:tc>
          <w:tcPr>
            <w:tcW w:w="1136" w:type="dxa"/>
            <w:gridSpan w:val="2"/>
            <w:tcBorders>
              <w:top w:val="nil"/>
              <w:left w:val="nil"/>
              <w:bottom w:val="single" w:sz="4" w:space="0" w:color="000000"/>
              <w:right w:val="nil"/>
            </w:tcBorders>
            <w:shd w:val="clear" w:color="000000" w:fill="FFFFFF"/>
            <w:noWrap/>
            <w:vAlign w:val="bottom"/>
            <w:hideMark/>
          </w:tcPr>
          <w:p w14:paraId="5D3C4831"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275</w:t>
            </w:r>
          </w:p>
        </w:tc>
        <w:tc>
          <w:tcPr>
            <w:tcW w:w="1284" w:type="dxa"/>
            <w:gridSpan w:val="2"/>
            <w:tcBorders>
              <w:top w:val="nil"/>
              <w:left w:val="nil"/>
              <w:bottom w:val="single" w:sz="4" w:space="0" w:color="000000"/>
              <w:right w:val="nil"/>
            </w:tcBorders>
            <w:shd w:val="clear" w:color="000000" w:fill="FFFFFF"/>
            <w:noWrap/>
            <w:vAlign w:val="bottom"/>
            <w:hideMark/>
          </w:tcPr>
          <w:p w14:paraId="6CAA6AB9"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275</w:t>
            </w:r>
          </w:p>
        </w:tc>
        <w:tc>
          <w:tcPr>
            <w:tcW w:w="1176" w:type="dxa"/>
            <w:gridSpan w:val="2"/>
            <w:tcBorders>
              <w:top w:val="nil"/>
              <w:left w:val="nil"/>
              <w:bottom w:val="single" w:sz="4" w:space="0" w:color="000000"/>
              <w:right w:val="nil"/>
            </w:tcBorders>
            <w:shd w:val="clear" w:color="000000" w:fill="FFFFFF"/>
            <w:noWrap/>
            <w:vAlign w:val="bottom"/>
            <w:hideMark/>
          </w:tcPr>
          <w:p w14:paraId="60CD1CC3"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275</w:t>
            </w:r>
          </w:p>
        </w:tc>
        <w:tc>
          <w:tcPr>
            <w:tcW w:w="1112" w:type="dxa"/>
            <w:gridSpan w:val="2"/>
            <w:tcBorders>
              <w:top w:val="nil"/>
              <w:left w:val="nil"/>
              <w:bottom w:val="single" w:sz="4" w:space="0" w:color="000000"/>
              <w:right w:val="nil"/>
            </w:tcBorders>
            <w:shd w:val="clear" w:color="000000" w:fill="FFFFFF"/>
            <w:noWrap/>
            <w:vAlign w:val="bottom"/>
            <w:hideMark/>
          </w:tcPr>
          <w:p w14:paraId="37D551DD" w14:textId="77777777" w:rsidR="008C3AE9" w:rsidRPr="008C3AE9" w:rsidRDefault="008C3AE9" w:rsidP="008C3AE9">
            <w:pPr>
              <w:jc w:val="center"/>
              <w:rPr>
                <w:rFonts w:ascii="Calibri" w:eastAsia="Times New Roman" w:hAnsi="Calibri" w:cs="Times New Roman"/>
                <w:sz w:val="20"/>
                <w:szCs w:val="20"/>
              </w:rPr>
            </w:pPr>
            <w:r w:rsidRPr="008C3AE9">
              <w:rPr>
                <w:rFonts w:ascii="Calibri" w:eastAsia="Times New Roman" w:hAnsi="Calibri" w:cs="Times New Roman"/>
                <w:sz w:val="20"/>
                <w:szCs w:val="20"/>
              </w:rPr>
              <w:t>275</w:t>
            </w:r>
          </w:p>
        </w:tc>
      </w:tr>
      <w:tr w:rsidR="008C3AE9" w:rsidRPr="008C3AE9" w14:paraId="76567462" w14:textId="77777777" w:rsidTr="008C3AE9">
        <w:trPr>
          <w:gridAfter w:val="1"/>
          <w:divId w:val="455031951"/>
          <w:wAfter w:w="136" w:type="dxa"/>
          <w:trHeight w:val="255"/>
        </w:trPr>
        <w:tc>
          <w:tcPr>
            <w:tcW w:w="4180" w:type="dxa"/>
            <w:tcBorders>
              <w:top w:val="nil"/>
              <w:left w:val="nil"/>
              <w:bottom w:val="nil"/>
              <w:right w:val="nil"/>
            </w:tcBorders>
            <w:shd w:val="clear" w:color="000000" w:fill="FFFFFF"/>
            <w:noWrap/>
            <w:vAlign w:val="bottom"/>
            <w:hideMark/>
          </w:tcPr>
          <w:p w14:paraId="59048E53"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Percent Due to Endowments</w:t>
            </w:r>
          </w:p>
        </w:tc>
        <w:tc>
          <w:tcPr>
            <w:tcW w:w="1113" w:type="dxa"/>
            <w:tcBorders>
              <w:top w:val="nil"/>
              <w:left w:val="nil"/>
              <w:bottom w:val="nil"/>
              <w:right w:val="nil"/>
            </w:tcBorders>
            <w:shd w:val="clear" w:color="000000" w:fill="FFFFFF"/>
            <w:noWrap/>
            <w:vAlign w:val="bottom"/>
            <w:hideMark/>
          </w:tcPr>
          <w:p w14:paraId="1ED4E636"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68907A36" w14:textId="77777777" w:rsidR="008C3AE9" w:rsidRPr="008C3AE9" w:rsidRDefault="008C3AE9" w:rsidP="008C3AE9">
            <w:pPr>
              <w:jc w:val="right"/>
              <w:rPr>
                <w:rFonts w:ascii="Calibri" w:eastAsia="Times New Roman" w:hAnsi="Calibri" w:cs="Times New Roman"/>
                <w:sz w:val="20"/>
                <w:szCs w:val="20"/>
              </w:rPr>
            </w:pPr>
            <w:r w:rsidRPr="008C3AE9">
              <w:rPr>
                <w:rFonts w:ascii="Calibri" w:eastAsia="Times New Roman" w:hAnsi="Calibri" w:cs="Times New Roman"/>
                <w:sz w:val="20"/>
                <w:szCs w:val="20"/>
              </w:rPr>
              <w:t>77%</w:t>
            </w:r>
          </w:p>
        </w:tc>
        <w:tc>
          <w:tcPr>
            <w:tcW w:w="1159" w:type="dxa"/>
            <w:gridSpan w:val="2"/>
            <w:tcBorders>
              <w:top w:val="nil"/>
              <w:left w:val="nil"/>
              <w:bottom w:val="nil"/>
              <w:right w:val="nil"/>
            </w:tcBorders>
            <w:shd w:val="clear" w:color="000000" w:fill="FFFFFF"/>
            <w:noWrap/>
            <w:vAlign w:val="bottom"/>
            <w:hideMark/>
          </w:tcPr>
          <w:p w14:paraId="09AD463B"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084" w:type="dxa"/>
            <w:gridSpan w:val="2"/>
            <w:tcBorders>
              <w:top w:val="nil"/>
              <w:left w:val="nil"/>
              <w:bottom w:val="nil"/>
              <w:right w:val="nil"/>
            </w:tcBorders>
            <w:shd w:val="clear" w:color="000000" w:fill="FFFFFF"/>
            <w:noWrap/>
            <w:vAlign w:val="bottom"/>
            <w:hideMark/>
          </w:tcPr>
          <w:p w14:paraId="576C0C64"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113" w:type="dxa"/>
            <w:gridSpan w:val="2"/>
            <w:tcBorders>
              <w:top w:val="nil"/>
              <w:left w:val="nil"/>
              <w:bottom w:val="nil"/>
              <w:right w:val="nil"/>
            </w:tcBorders>
            <w:shd w:val="clear" w:color="000000" w:fill="FFFFFF"/>
            <w:noWrap/>
            <w:vAlign w:val="bottom"/>
            <w:hideMark/>
          </w:tcPr>
          <w:p w14:paraId="672432B1"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284" w:type="dxa"/>
            <w:gridSpan w:val="2"/>
            <w:tcBorders>
              <w:top w:val="nil"/>
              <w:left w:val="nil"/>
              <w:bottom w:val="nil"/>
              <w:right w:val="nil"/>
            </w:tcBorders>
            <w:shd w:val="clear" w:color="000000" w:fill="FFFFFF"/>
            <w:noWrap/>
            <w:vAlign w:val="bottom"/>
            <w:hideMark/>
          </w:tcPr>
          <w:p w14:paraId="72B98C63" w14:textId="77777777" w:rsidR="008C3AE9" w:rsidRPr="008C3AE9" w:rsidRDefault="008C3AE9" w:rsidP="008C3AE9">
            <w:pPr>
              <w:jc w:val="right"/>
              <w:rPr>
                <w:rFonts w:ascii="Calibri" w:eastAsia="Times New Roman" w:hAnsi="Calibri" w:cs="Times New Roman"/>
                <w:sz w:val="20"/>
                <w:szCs w:val="20"/>
              </w:rPr>
            </w:pPr>
            <w:r w:rsidRPr="008C3AE9">
              <w:rPr>
                <w:rFonts w:ascii="Calibri" w:eastAsia="Times New Roman" w:hAnsi="Calibri" w:cs="Times New Roman"/>
                <w:sz w:val="20"/>
                <w:szCs w:val="20"/>
              </w:rPr>
              <w:t>77%</w:t>
            </w:r>
          </w:p>
        </w:tc>
        <w:tc>
          <w:tcPr>
            <w:tcW w:w="1159" w:type="dxa"/>
            <w:gridSpan w:val="2"/>
            <w:tcBorders>
              <w:top w:val="nil"/>
              <w:left w:val="nil"/>
              <w:bottom w:val="nil"/>
              <w:right w:val="nil"/>
            </w:tcBorders>
            <w:shd w:val="clear" w:color="000000" w:fill="FFFFFF"/>
            <w:noWrap/>
            <w:vAlign w:val="bottom"/>
            <w:hideMark/>
          </w:tcPr>
          <w:p w14:paraId="534B94DF"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c>
          <w:tcPr>
            <w:tcW w:w="1084" w:type="dxa"/>
            <w:gridSpan w:val="2"/>
            <w:tcBorders>
              <w:top w:val="nil"/>
              <w:left w:val="nil"/>
              <w:bottom w:val="nil"/>
              <w:right w:val="nil"/>
            </w:tcBorders>
            <w:shd w:val="clear" w:color="000000" w:fill="FFFFFF"/>
            <w:noWrap/>
            <w:vAlign w:val="bottom"/>
            <w:hideMark/>
          </w:tcPr>
          <w:p w14:paraId="159AFFDD" w14:textId="77777777" w:rsidR="008C3AE9" w:rsidRPr="008C3AE9" w:rsidRDefault="008C3AE9" w:rsidP="008C3AE9">
            <w:pPr>
              <w:rPr>
                <w:rFonts w:ascii="Calibri" w:eastAsia="Times New Roman" w:hAnsi="Calibri" w:cs="Times New Roman"/>
                <w:sz w:val="20"/>
                <w:szCs w:val="20"/>
              </w:rPr>
            </w:pPr>
            <w:r w:rsidRPr="008C3AE9">
              <w:rPr>
                <w:rFonts w:ascii="Calibri" w:eastAsia="Times New Roman" w:hAnsi="Calibri" w:cs="Times New Roman"/>
                <w:sz w:val="20"/>
                <w:szCs w:val="20"/>
              </w:rPr>
              <w:t> </w:t>
            </w:r>
          </w:p>
        </w:tc>
      </w:tr>
    </w:tbl>
    <w:p w14:paraId="62B734A4" w14:textId="7C1DB1B5" w:rsidR="00943EE9" w:rsidRDefault="007F6CA5" w:rsidP="007F6CA5">
      <w:pPr>
        <w:spacing w:after="200" w:line="276" w:lineRule="auto"/>
        <w:sectPr w:rsidR="00943EE9" w:rsidSect="00943EE9">
          <w:pgSz w:w="15840" w:h="12240" w:orient="landscape"/>
          <w:pgMar w:top="1440" w:right="1440" w:bottom="1440" w:left="1440" w:header="720" w:footer="720" w:gutter="0"/>
          <w:cols w:space="720"/>
          <w:docGrid w:linePitch="360"/>
        </w:sectPr>
      </w:pPr>
      <w:r>
        <w:fldChar w:fldCharType="end"/>
      </w:r>
    </w:p>
    <w:p w14:paraId="6629A7FC" w14:textId="6E7105C0" w:rsidR="00971E41" w:rsidRDefault="00943EE9" w:rsidP="007F6CA5">
      <w:pPr>
        <w:spacing w:after="200" w:line="276" w:lineRule="auto"/>
        <w:rPr>
          <w:b/>
        </w:rPr>
      </w:pPr>
      <w:r>
        <w:rPr>
          <w:b/>
        </w:rPr>
        <w:lastRenderedPageBreak/>
        <w:t>S</w:t>
      </w:r>
      <w:r w:rsidR="00971E41">
        <w:rPr>
          <w:b/>
        </w:rPr>
        <w:t>ensitivity analysis to Imputation by Model</w:t>
      </w:r>
    </w:p>
    <w:p w14:paraId="27F79D5B" w14:textId="3CDEFE81" w:rsidR="00971E41" w:rsidRDefault="00971E41" w:rsidP="007F6CA5">
      <w:pPr>
        <w:spacing w:after="200" w:line="276" w:lineRule="auto"/>
      </w:pPr>
      <w:r>
        <w:t>This table shows how much the decision to impute missing variables had on the effect of various indicators.  The results in the final two columns display the percent of the chang</w:t>
      </w:r>
      <w:r w:rsidR="00191F40">
        <w:t>e in U5MR accounted for by each</w:t>
      </w:r>
      <w:r>
        <w:t xml:space="preserve"> changes over time in each indicator based on the average of between 64 and 96 various models using the indi</w:t>
      </w:r>
      <w:r w:rsidR="00191F40">
        <w:t xml:space="preserve">cator.  For Log GDP per capita </w:t>
      </w:r>
      <w:r>
        <w:t>imputing lowers the importance from 19.8 to 18.4%.  Schooling measures were those most sensitive to the decision to impute.</w:t>
      </w:r>
    </w:p>
    <w:p w14:paraId="0DDA9A60" w14:textId="086A46F2" w:rsidR="00320D64" w:rsidRPr="00971E41" w:rsidRDefault="00320D64" w:rsidP="007F6CA5">
      <w:pPr>
        <w:spacing w:after="200" w:line="276" w:lineRule="auto"/>
      </w:pPr>
      <w:r>
        <w:t xml:space="preserve">Appendix Table </w:t>
      </w:r>
      <w:r w:rsidR="00040C2C">
        <w:t>B</w:t>
      </w:r>
      <w:r>
        <w:t xml:space="preserve"> Sensitivity to imputation for U5MR models </w:t>
      </w:r>
    </w:p>
    <w:tbl>
      <w:tblPr>
        <w:tblStyle w:val="TableGrid"/>
        <w:tblW w:w="0" w:type="auto"/>
        <w:tblLook w:val="04A0" w:firstRow="1" w:lastRow="0" w:firstColumn="1" w:lastColumn="0" w:noHBand="0" w:noVBand="1"/>
      </w:tblPr>
      <w:tblGrid>
        <w:gridCol w:w="2628"/>
        <w:gridCol w:w="3060"/>
        <w:gridCol w:w="1080"/>
        <w:gridCol w:w="1530"/>
        <w:gridCol w:w="1266"/>
      </w:tblGrid>
      <w:tr w:rsidR="00971E41" w:rsidRPr="00501CF6" w14:paraId="0CD462E4" w14:textId="77777777" w:rsidTr="00734601">
        <w:trPr>
          <w:trHeight w:val="300"/>
        </w:trPr>
        <w:tc>
          <w:tcPr>
            <w:tcW w:w="2628" w:type="dxa"/>
            <w:noWrap/>
            <w:hideMark/>
          </w:tcPr>
          <w:p w14:paraId="671E65D5" w14:textId="77777777" w:rsidR="00971E41" w:rsidRPr="00501CF6" w:rsidRDefault="00971E41" w:rsidP="00734601">
            <w:pPr>
              <w:jc w:val="center"/>
              <w:rPr>
                <w:b/>
                <w:sz w:val="20"/>
              </w:rPr>
            </w:pPr>
            <w:r w:rsidRPr="00501CF6">
              <w:rPr>
                <w:b/>
                <w:sz w:val="20"/>
              </w:rPr>
              <w:t>Policy Area</w:t>
            </w:r>
          </w:p>
        </w:tc>
        <w:tc>
          <w:tcPr>
            <w:tcW w:w="3060" w:type="dxa"/>
            <w:noWrap/>
            <w:hideMark/>
          </w:tcPr>
          <w:p w14:paraId="14357CD1" w14:textId="77777777" w:rsidR="00971E41" w:rsidRPr="00501CF6" w:rsidRDefault="00971E41" w:rsidP="00734601">
            <w:pPr>
              <w:jc w:val="center"/>
              <w:rPr>
                <w:b/>
                <w:sz w:val="20"/>
              </w:rPr>
            </w:pPr>
            <w:r w:rsidRPr="00501CF6">
              <w:rPr>
                <w:b/>
                <w:sz w:val="20"/>
              </w:rPr>
              <w:t>Indicator</w:t>
            </w:r>
          </w:p>
        </w:tc>
        <w:tc>
          <w:tcPr>
            <w:tcW w:w="1080" w:type="dxa"/>
            <w:noWrap/>
            <w:hideMark/>
          </w:tcPr>
          <w:p w14:paraId="630208A2" w14:textId="77777777" w:rsidR="00971E41" w:rsidRPr="00501CF6" w:rsidRDefault="00971E41" w:rsidP="00734601">
            <w:pPr>
              <w:jc w:val="center"/>
              <w:rPr>
                <w:b/>
                <w:sz w:val="20"/>
              </w:rPr>
            </w:pPr>
            <w:r w:rsidRPr="00501CF6">
              <w:rPr>
                <w:b/>
                <w:sz w:val="20"/>
              </w:rPr>
              <w:t>Number of models</w:t>
            </w:r>
          </w:p>
        </w:tc>
        <w:tc>
          <w:tcPr>
            <w:tcW w:w="1530" w:type="dxa"/>
            <w:noWrap/>
            <w:hideMark/>
          </w:tcPr>
          <w:p w14:paraId="60121D38" w14:textId="77777777" w:rsidR="00971E41" w:rsidRPr="00501CF6" w:rsidRDefault="00971E41" w:rsidP="00734601">
            <w:pPr>
              <w:jc w:val="center"/>
              <w:rPr>
                <w:b/>
                <w:sz w:val="20"/>
              </w:rPr>
            </w:pPr>
            <w:r w:rsidRPr="00501CF6">
              <w:rPr>
                <w:b/>
                <w:sz w:val="20"/>
              </w:rPr>
              <w:t>Models with no imputation*</w:t>
            </w:r>
          </w:p>
        </w:tc>
        <w:tc>
          <w:tcPr>
            <w:tcW w:w="1266" w:type="dxa"/>
            <w:noWrap/>
            <w:hideMark/>
          </w:tcPr>
          <w:p w14:paraId="31F7DC8A" w14:textId="77777777" w:rsidR="00971E41" w:rsidRPr="00501CF6" w:rsidRDefault="00971E41" w:rsidP="00734601">
            <w:pPr>
              <w:jc w:val="center"/>
              <w:rPr>
                <w:b/>
                <w:sz w:val="20"/>
              </w:rPr>
            </w:pPr>
            <w:r w:rsidRPr="00501CF6">
              <w:rPr>
                <w:b/>
                <w:sz w:val="20"/>
              </w:rPr>
              <w:t>Models with imputation*</w:t>
            </w:r>
          </w:p>
        </w:tc>
      </w:tr>
      <w:tr w:rsidR="00971E41" w:rsidRPr="00501CF6" w14:paraId="18AE885A" w14:textId="77777777" w:rsidTr="00734601">
        <w:trPr>
          <w:trHeight w:val="300"/>
        </w:trPr>
        <w:tc>
          <w:tcPr>
            <w:tcW w:w="2628" w:type="dxa"/>
            <w:noWrap/>
            <w:hideMark/>
          </w:tcPr>
          <w:p w14:paraId="4AE2869D" w14:textId="77777777" w:rsidR="00971E41" w:rsidRPr="00501CF6" w:rsidRDefault="00971E41" w:rsidP="00734601">
            <w:pPr>
              <w:rPr>
                <w:sz w:val="20"/>
              </w:rPr>
            </w:pPr>
            <w:r w:rsidRPr="00501CF6">
              <w:rPr>
                <w:sz w:val="20"/>
              </w:rPr>
              <w:t>GDP per capita</w:t>
            </w:r>
          </w:p>
        </w:tc>
        <w:tc>
          <w:tcPr>
            <w:tcW w:w="3060" w:type="dxa"/>
            <w:noWrap/>
            <w:hideMark/>
          </w:tcPr>
          <w:p w14:paraId="6F53214E" w14:textId="77777777" w:rsidR="00971E41" w:rsidRPr="00501CF6" w:rsidRDefault="00971E41" w:rsidP="00734601">
            <w:pPr>
              <w:rPr>
                <w:sz w:val="20"/>
              </w:rPr>
            </w:pPr>
            <w:r w:rsidRPr="00501CF6">
              <w:rPr>
                <w:sz w:val="20"/>
              </w:rPr>
              <w:t>Log GDP per capita</w:t>
            </w:r>
          </w:p>
        </w:tc>
        <w:tc>
          <w:tcPr>
            <w:tcW w:w="1080" w:type="dxa"/>
            <w:noWrap/>
            <w:hideMark/>
          </w:tcPr>
          <w:p w14:paraId="6331993B" w14:textId="77777777" w:rsidR="00971E41" w:rsidRPr="00501CF6" w:rsidRDefault="00971E41" w:rsidP="00734601">
            <w:pPr>
              <w:jc w:val="center"/>
              <w:rPr>
                <w:sz w:val="20"/>
              </w:rPr>
            </w:pPr>
            <w:r w:rsidRPr="00501CF6">
              <w:rPr>
                <w:sz w:val="20"/>
              </w:rPr>
              <w:t>96</w:t>
            </w:r>
          </w:p>
        </w:tc>
        <w:tc>
          <w:tcPr>
            <w:tcW w:w="1530" w:type="dxa"/>
            <w:noWrap/>
            <w:hideMark/>
          </w:tcPr>
          <w:p w14:paraId="00D05BDB" w14:textId="77777777" w:rsidR="00971E41" w:rsidRPr="00501CF6" w:rsidRDefault="00971E41" w:rsidP="00734601">
            <w:pPr>
              <w:jc w:val="center"/>
              <w:rPr>
                <w:sz w:val="20"/>
              </w:rPr>
            </w:pPr>
            <w:r w:rsidRPr="00501CF6">
              <w:rPr>
                <w:sz w:val="20"/>
              </w:rPr>
              <w:t>19.8%</w:t>
            </w:r>
          </w:p>
        </w:tc>
        <w:tc>
          <w:tcPr>
            <w:tcW w:w="1266" w:type="dxa"/>
            <w:noWrap/>
            <w:hideMark/>
          </w:tcPr>
          <w:p w14:paraId="546097DB" w14:textId="77777777" w:rsidR="00971E41" w:rsidRPr="00501CF6" w:rsidRDefault="00971E41" w:rsidP="00734601">
            <w:pPr>
              <w:jc w:val="center"/>
              <w:rPr>
                <w:sz w:val="20"/>
              </w:rPr>
            </w:pPr>
            <w:r w:rsidRPr="00501CF6">
              <w:rPr>
                <w:sz w:val="20"/>
              </w:rPr>
              <w:t>18.4%</w:t>
            </w:r>
          </w:p>
        </w:tc>
      </w:tr>
      <w:tr w:rsidR="00971E41" w:rsidRPr="00501CF6" w14:paraId="424E48A6" w14:textId="77777777" w:rsidTr="00734601">
        <w:trPr>
          <w:trHeight w:val="300"/>
        </w:trPr>
        <w:tc>
          <w:tcPr>
            <w:tcW w:w="2628" w:type="dxa"/>
            <w:noWrap/>
            <w:hideMark/>
          </w:tcPr>
          <w:p w14:paraId="7AB190D3" w14:textId="77777777" w:rsidR="00971E41" w:rsidRPr="00501CF6" w:rsidRDefault="00971E41" w:rsidP="00734601">
            <w:pPr>
              <w:rPr>
                <w:sz w:val="20"/>
              </w:rPr>
            </w:pPr>
            <w:r w:rsidRPr="00501CF6">
              <w:rPr>
                <w:sz w:val="20"/>
              </w:rPr>
              <w:t>Health Service Delivery</w:t>
            </w:r>
          </w:p>
        </w:tc>
        <w:tc>
          <w:tcPr>
            <w:tcW w:w="3060" w:type="dxa"/>
            <w:noWrap/>
            <w:hideMark/>
          </w:tcPr>
          <w:p w14:paraId="090DEE55" w14:textId="77777777" w:rsidR="00971E41" w:rsidRPr="00501CF6" w:rsidRDefault="00971E41" w:rsidP="00734601">
            <w:pPr>
              <w:rPr>
                <w:sz w:val="20"/>
              </w:rPr>
            </w:pPr>
            <w:r w:rsidRPr="00501CF6">
              <w:rPr>
                <w:sz w:val="20"/>
              </w:rPr>
              <w:t>Skilled Birth Attendance</w:t>
            </w:r>
          </w:p>
        </w:tc>
        <w:tc>
          <w:tcPr>
            <w:tcW w:w="1080" w:type="dxa"/>
            <w:noWrap/>
            <w:hideMark/>
          </w:tcPr>
          <w:p w14:paraId="767CFA22" w14:textId="77777777" w:rsidR="00971E41" w:rsidRPr="00501CF6" w:rsidRDefault="00971E41" w:rsidP="00734601">
            <w:pPr>
              <w:jc w:val="center"/>
              <w:rPr>
                <w:sz w:val="20"/>
              </w:rPr>
            </w:pPr>
            <w:r w:rsidRPr="00501CF6">
              <w:rPr>
                <w:sz w:val="20"/>
              </w:rPr>
              <w:t>96</w:t>
            </w:r>
          </w:p>
        </w:tc>
        <w:tc>
          <w:tcPr>
            <w:tcW w:w="1530" w:type="dxa"/>
            <w:noWrap/>
            <w:hideMark/>
          </w:tcPr>
          <w:p w14:paraId="3394E097" w14:textId="77777777" w:rsidR="00971E41" w:rsidRPr="00501CF6" w:rsidRDefault="00971E41" w:rsidP="00734601">
            <w:pPr>
              <w:jc w:val="center"/>
              <w:rPr>
                <w:sz w:val="20"/>
              </w:rPr>
            </w:pPr>
            <w:r w:rsidRPr="00501CF6">
              <w:rPr>
                <w:sz w:val="20"/>
              </w:rPr>
              <w:t>4.3%</w:t>
            </w:r>
          </w:p>
        </w:tc>
        <w:tc>
          <w:tcPr>
            <w:tcW w:w="1266" w:type="dxa"/>
            <w:noWrap/>
            <w:hideMark/>
          </w:tcPr>
          <w:p w14:paraId="7178CC9B" w14:textId="77777777" w:rsidR="00971E41" w:rsidRPr="00501CF6" w:rsidRDefault="00971E41" w:rsidP="00734601">
            <w:pPr>
              <w:jc w:val="center"/>
              <w:rPr>
                <w:sz w:val="20"/>
              </w:rPr>
            </w:pPr>
            <w:r w:rsidRPr="00501CF6">
              <w:rPr>
                <w:sz w:val="20"/>
              </w:rPr>
              <w:t>8.6%</w:t>
            </w:r>
          </w:p>
        </w:tc>
      </w:tr>
      <w:tr w:rsidR="00971E41" w:rsidRPr="00501CF6" w14:paraId="40A09447" w14:textId="77777777" w:rsidTr="00734601">
        <w:trPr>
          <w:trHeight w:val="300"/>
        </w:trPr>
        <w:tc>
          <w:tcPr>
            <w:tcW w:w="2628" w:type="dxa"/>
            <w:noWrap/>
            <w:hideMark/>
          </w:tcPr>
          <w:p w14:paraId="5045E956" w14:textId="77777777" w:rsidR="00971E41" w:rsidRPr="00501CF6" w:rsidRDefault="00971E41" w:rsidP="00734601">
            <w:pPr>
              <w:rPr>
                <w:sz w:val="20"/>
              </w:rPr>
            </w:pPr>
            <w:r w:rsidRPr="00501CF6">
              <w:rPr>
                <w:sz w:val="20"/>
              </w:rPr>
              <w:t>Human Resources for Health</w:t>
            </w:r>
          </w:p>
        </w:tc>
        <w:tc>
          <w:tcPr>
            <w:tcW w:w="3060" w:type="dxa"/>
            <w:noWrap/>
            <w:hideMark/>
          </w:tcPr>
          <w:p w14:paraId="25156AB3" w14:textId="77777777" w:rsidR="00971E41" w:rsidRPr="00501CF6" w:rsidRDefault="00971E41" w:rsidP="00734601">
            <w:pPr>
              <w:rPr>
                <w:sz w:val="20"/>
              </w:rPr>
            </w:pPr>
            <w:r w:rsidRPr="00501CF6">
              <w:rPr>
                <w:sz w:val="20"/>
              </w:rPr>
              <w:t>Doctors per 1,000</w:t>
            </w:r>
          </w:p>
        </w:tc>
        <w:tc>
          <w:tcPr>
            <w:tcW w:w="1080" w:type="dxa"/>
            <w:noWrap/>
            <w:hideMark/>
          </w:tcPr>
          <w:p w14:paraId="41AB226E" w14:textId="77777777" w:rsidR="00971E41" w:rsidRPr="00501CF6" w:rsidRDefault="00971E41" w:rsidP="00734601">
            <w:pPr>
              <w:jc w:val="center"/>
              <w:rPr>
                <w:sz w:val="20"/>
              </w:rPr>
            </w:pPr>
            <w:r w:rsidRPr="00501CF6">
              <w:rPr>
                <w:sz w:val="20"/>
              </w:rPr>
              <w:t>96</w:t>
            </w:r>
          </w:p>
        </w:tc>
        <w:tc>
          <w:tcPr>
            <w:tcW w:w="1530" w:type="dxa"/>
            <w:noWrap/>
            <w:hideMark/>
          </w:tcPr>
          <w:p w14:paraId="5D54A1C9" w14:textId="77777777" w:rsidR="00971E41" w:rsidRPr="00501CF6" w:rsidRDefault="00971E41" w:rsidP="00734601">
            <w:pPr>
              <w:jc w:val="center"/>
              <w:rPr>
                <w:sz w:val="20"/>
              </w:rPr>
            </w:pPr>
            <w:r w:rsidRPr="00501CF6">
              <w:rPr>
                <w:sz w:val="20"/>
              </w:rPr>
              <w:t>-3.8%</w:t>
            </w:r>
          </w:p>
        </w:tc>
        <w:tc>
          <w:tcPr>
            <w:tcW w:w="1266" w:type="dxa"/>
            <w:noWrap/>
            <w:hideMark/>
          </w:tcPr>
          <w:p w14:paraId="12CF9555" w14:textId="77777777" w:rsidR="00971E41" w:rsidRPr="00501CF6" w:rsidRDefault="00971E41" w:rsidP="00734601">
            <w:pPr>
              <w:jc w:val="center"/>
              <w:rPr>
                <w:sz w:val="20"/>
              </w:rPr>
            </w:pPr>
            <w:r w:rsidRPr="00501CF6">
              <w:rPr>
                <w:sz w:val="20"/>
              </w:rPr>
              <w:t>-3.0%</w:t>
            </w:r>
          </w:p>
        </w:tc>
      </w:tr>
      <w:tr w:rsidR="00971E41" w:rsidRPr="00501CF6" w14:paraId="3A0B7028" w14:textId="77777777" w:rsidTr="00734601">
        <w:trPr>
          <w:trHeight w:val="300"/>
        </w:trPr>
        <w:tc>
          <w:tcPr>
            <w:tcW w:w="2628" w:type="dxa"/>
            <w:noWrap/>
            <w:hideMark/>
          </w:tcPr>
          <w:p w14:paraId="6B653CAF" w14:textId="77777777" w:rsidR="00971E41" w:rsidRPr="00501CF6" w:rsidRDefault="00971E41" w:rsidP="00734601">
            <w:pPr>
              <w:rPr>
                <w:sz w:val="20"/>
              </w:rPr>
            </w:pPr>
            <w:r w:rsidRPr="00501CF6">
              <w:rPr>
                <w:sz w:val="20"/>
              </w:rPr>
              <w:t>Immunizations</w:t>
            </w:r>
          </w:p>
        </w:tc>
        <w:tc>
          <w:tcPr>
            <w:tcW w:w="3060" w:type="dxa"/>
            <w:noWrap/>
            <w:hideMark/>
          </w:tcPr>
          <w:p w14:paraId="25D5FE10" w14:textId="77777777" w:rsidR="00971E41" w:rsidRPr="00501CF6" w:rsidRDefault="00971E41" w:rsidP="00734601">
            <w:pPr>
              <w:rPr>
                <w:sz w:val="20"/>
              </w:rPr>
            </w:pPr>
            <w:r w:rsidRPr="00501CF6">
              <w:rPr>
                <w:sz w:val="20"/>
              </w:rPr>
              <w:t>Measles Coverage</w:t>
            </w:r>
          </w:p>
        </w:tc>
        <w:tc>
          <w:tcPr>
            <w:tcW w:w="1080" w:type="dxa"/>
            <w:noWrap/>
            <w:hideMark/>
          </w:tcPr>
          <w:p w14:paraId="1D80624A" w14:textId="77777777" w:rsidR="00971E41" w:rsidRPr="00501CF6" w:rsidRDefault="00971E41" w:rsidP="00734601">
            <w:pPr>
              <w:jc w:val="center"/>
              <w:rPr>
                <w:sz w:val="20"/>
              </w:rPr>
            </w:pPr>
            <w:r w:rsidRPr="00501CF6">
              <w:rPr>
                <w:sz w:val="20"/>
              </w:rPr>
              <w:t>96</w:t>
            </w:r>
          </w:p>
        </w:tc>
        <w:tc>
          <w:tcPr>
            <w:tcW w:w="1530" w:type="dxa"/>
            <w:noWrap/>
            <w:hideMark/>
          </w:tcPr>
          <w:p w14:paraId="61476661" w14:textId="77777777" w:rsidR="00971E41" w:rsidRPr="00501CF6" w:rsidRDefault="00971E41" w:rsidP="00734601">
            <w:pPr>
              <w:jc w:val="center"/>
              <w:rPr>
                <w:sz w:val="20"/>
              </w:rPr>
            </w:pPr>
            <w:r w:rsidRPr="00501CF6">
              <w:rPr>
                <w:sz w:val="20"/>
              </w:rPr>
              <w:t>16.6%</w:t>
            </w:r>
          </w:p>
        </w:tc>
        <w:tc>
          <w:tcPr>
            <w:tcW w:w="1266" w:type="dxa"/>
            <w:noWrap/>
            <w:hideMark/>
          </w:tcPr>
          <w:p w14:paraId="0B2F8B9B" w14:textId="77777777" w:rsidR="00971E41" w:rsidRPr="00501CF6" w:rsidRDefault="00971E41" w:rsidP="00734601">
            <w:pPr>
              <w:jc w:val="center"/>
              <w:rPr>
                <w:sz w:val="20"/>
              </w:rPr>
            </w:pPr>
            <w:r w:rsidRPr="00501CF6">
              <w:rPr>
                <w:sz w:val="20"/>
              </w:rPr>
              <w:t>20.0%</w:t>
            </w:r>
          </w:p>
        </w:tc>
      </w:tr>
      <w:tr w:rsidR="00971E41" w:rsidRPr="00501CF6" w14:paraId="7266BED3" w14:textId="77777777" w:rsidTr="00734601">
        <w:trPr>
          <w:trHeight w:val="300"/>
        </w:trPr>
        <w:tc>
          <w:tcPr>
            <w:tcW w:w="2628" w:type="dxa"/>
            <w:noWrap/>
            <w:hideMark/>
          </w:tcPr>
          <w:p w14:paraId="63DA86DF" w14:textId="77777777" w:rsidR="00971E41" w:rsidRPr="00501CF6" w:rsidRDefault="00971E41" w:rsidP="00734601">
            <w:pPr>
              <w:rPr>
                <w:sz w:val="20"/>
              </w:rPr>
            </w:pPr>
          </w:p>
        </w:tc>
        <w:tc>
          <w:tcPr>
            <w:tcW w:w="3060" w:type="dxa"/>
            <w:noWrap/>
            <w:hideMark/>
          </w:tcPr>
          <w:p w14:paraId="5174F8C5" w14:textId="77777777" w:rsidR="00971E41" w:rsidRPr="00501CF6" w:rsidRDefault="00971E41" w:rsidP="00734601">
            <w:pPr>
              <w:rPr>
                <w:sz w:val="20"/>
              </w:rPr>
            </w:pPr>
            <w:r w:rsidRPr="00501CF6">
              <w:rPr>
                <w:sz w:val="20"/>
              </w:rPr>
              <w:t>DPT Coverage</w:t>
            </w:r>
          </w:p>
        </w:tc>
        <w:tc>
          <w:tcPr>
            <w:tcW w:w="1080" w:type="dxa"/>
            <w:noWrap/>
            <w:hideMark/>
          </w:tcPr>
          <w:p w14:paraId="0F787CA7" w14:textId="77777777" w:rsidR="00971E41" w:rsidRPr="00501CF6" w:rsidRDefault="00971E41" w:rsidP="00734601">
            <w:pPr>
              <w:jc w:val="center"/>
              <w:rPr>
                <w:sz w:val="20"/>
              </w:rPr>
            </w:pPr>
            <w:r w:rsidRPr="00501CF6">
              <w:rPr>
                <w:sz w:val="20"/>
              </w:rPr>
              <w:t>96</w:t>
            </w:r>
          </w:p>
        </w:tc>
        <w:tc>
          <w:tcPr>
            <w:tcW w:w="1530" w:type="dxa"/>
            <w:noWrap/>
            <w:hideMark/>
          </w:tcPr>
          <w:p w14:paraId="1C52D967" w14:textId="77777777" w:rsidR="00971E41" w:rsidRPr="00501CF6" w:rsidRDefault="00971E41" w:rsidP="00734601">
            <w:pPr>
              <w:jc w:val="center"/>
              <w:rPr>
                <w:sz w:val="20"/>
              </w:rPr>
            </w:pPr>
            <w:r w:rsidRPr="00501CF6">
              <w:rPr>
                <w:sz w:val="20"/>
              </w:rPr>
              <w:t>12.1%</w:t>
            </w:r>
          </w:p>
        </w:tc>
        <w:tc>
          <w:tcPr>
            <w:tcW w:w="1266" w:type="dxa"/>
            <w:noWrap/>
            <w:hideMark/>
          </w:tcPr>
          <w:p w14:paraId="316B09E1" w14:textId="77777777" w:rsidR="00971E41" w:rsidRPr="00501CF6" w:rsidRDefault="00971E41" w:rsidP="00734601">
            <w:pPr>
              <w:jc w:val="center"/>
              <w:rPr>
                <w:sz w:val="20"/>
              </w:rPr>
            </w:pPr>
            <w:r w:rsidRPr="00501CF6">
              <w:rPr>
                <w:sz w:val="20"/>
              </w:rPr>
              <w:t>16.3%</w:t>
            </w:r>
          </w:p>
        </w:tc>
      </w:tr>
      <w:tr w:rsidR="00971E41" w:rsidRPr="00501CF6" w14:paraId="6F09231A" w14:textId="77777777" w:rsidTr="00734601">
        <w:trPr>
          <w:trHeight w:val="300"/>
        </w:trPr>
        <w:tc>
          <w:tcPr>
            <w:tcW w:w="2628" w:type="dxa"/>
            <w:noWrap/>
            <w:hideMark/>
          </w:tcPr>
          <w:p w14:paraId="6AB3866E" w14:textId="77777777" w:rsidR="00971E41" w:rsidRPr="00501CF6" w:rsidRDefault="00971E41" w:rsidP="00734601">
            <w:pPr>
              <w:rPr>
                <w:sz w:val="20"/>
              </w:rPr>
            </w:pPr>
            <w:r w:rsidRPr="00501CF6">
              <w:rPr>
                <w:sz w:val="20"/>
              </w:rPr>
              <w:t>Fertility</w:t>
            </w:r>
          </w:p>
        </w:tc>
        <w:tc>
          <w:tcPr>
            <w:tcW w:w="3060" w:type="dxa"/>
            <w:noWrap/>
            <w:hideMark/>
          </w:tcPr>
          <w:p w14:paraId="04392BD1" w14:textId="77777777" w:rsidR="00971E41" w:rsidRPr="00501CF6" w:rsidRDefault="00971E41" w:rsidP="00734601">
            <w:pPr>
              <w:rPr>
                <w:sz w:val="20"/>
              </w:rPr>
            </w:pPr>
            <w:r>
              <w:rPr>
                <w:sz w:val="20"/>
              </w:rPr>
              <w:t>Log Lag 5 years TFR</w:t>
            </w:r>
          </w:p>
        </w:tc>
        <w:tc>
          <w:tcPr>
            <w:tcW w:w="1080" w:type="dxa"/>
            <w:noWrap/>
            <w:hideMark/>
          </w:tcPr>
          <w:p w14:paraId="20529C16" w14:textId="77777777" w:rsidR="00971E41" w:rsidRPr="00501CF6" w:rsidRDefault="00971E41" w:rsidP="00734601">
            <w:pPr>
              <w:jc w:val="center"/>
              <w:rPr>
                <w:sz w:val="20"/>
              </w:rPr>
            </w:pPr>
            <w:r w:rsidRPr="00501CF6">
              <w:rPr>
                <w:sz w:val="20"/>
              </w:rPr>
              <w:t>96</w:t>
            </w:r>
          </w:p>
        </w:tc>
        <w:tc>
          <w:tcPr>
            <w:tcW w:w="1530" w:type="dxa"/>
            <w:noWrap/>
            <w:hideMark/>
          </w:tcPr>
          <w:p w14:paraId="1C3AC373" w14:textId="77777777" w:rsidR="00971E41" w:rsidRPr="00501CF6" w:rsidRDefault="00971E41" w:rsidP="00734601">
            <w:pPr>
              <w:jc w:val="center"/>
              <w:rPr>
                <w:sz w:val="20"/>
              </w:rPr>
            </w:pPr>
            <w:r w:rsidRPr="00501CF6">
              <w:rPr>
                <w:sz w:val="20"/>
              </w:rPr>
              <w:t>31.8%</w:t>
            </w:r>
          </w:p>
        </w:tc>
        <w:tc>
          <w:tcPr>
            <w:tcW w:w="1266" w:type="dxa"/>
            <w:noWrap/>
            <w:hideMark/>
          </w:tcPr>
          <w:p w14:paraId="1568C2E2" w14:textId="77777777" w:rsidR="00971E41" w:rsidRPr="00501CF6" w:rsidRDefault="00971E41" w:rsidP="00734601">
            <w:pPr>
              <w:jc w:val="center"/>
              <w:rPr>
                <w:sz w:val="20"/>
              </w:rPr>
            </w:pPr>
            <w:r w:rsidRPr="00501CF6">
              <w:rPr>
                <w:sz w:val="20"/>
              </w:rPr>
              <w:t>34.3%</w:t>
            </w:r>
          </w:p>
        </w:tc>
      </w:tr>
      <w:tr w:rsidR="00971E41" w:rsidRPr="00501CF6" w14:paraId="2501EDFB" w14:textId="77777777" w:rsidTr="00734601">
        <w:trPr>
          <w:trHeight w:val="300"/>
        </w:trPr>
        <w:tc>
          <w:tcPr>
            <w:tcW w:w="2628" w:type="dxa"/>
            <w:noWrap/>
            <w:hideMark/>
          </w:tcPr>
          <w:p w14:paraId="4C9495D4" w14:textId="77777777" w:rsidR="00971E41" w:rsidRPr="00501CF6" w:rsidRDefault="00971E41" w:rsidP="00734601">
            <w:pPr>
              <w:rPr>
                <w:sz w:val="20"/>
              </w:rPr>
            </w:pPr>
            <w:r w:rsidRPr="00501CF6">
              <w:rPr>
                <w:sz w:val="20"/>
              </w:rPr>
              <w:t>Water/Sanitation</w:t>
            </w:r>
          </w:p>
        </w:tc>
        <w:tc>
          <w:tcPr>
            <w:tcW w:w="3060" w:type="dxa"/>
            <w:noWrap/>
            <w:hideMark/>
          </w:tcPr>
          <w:p w14:paraId="7B44C9BE" w14:textId="77777777" w:rsidR="00971E41" w:rsidRPr="00501CF6" w:rsidRDefault="00971E41" w:rsidP="00734601">
            <w:pPr>
              <w:rPr>
                <w:sz w:val="20"/>
              </w:rPr>
            </w:pPr>
            <w:r w:rsidRPr="00501CF6">
              <w:rPr>
                <w:sz w:val="20"/>
              </w:rPr>
              <w:t>Clean Water, % Access</w:t>
            </w:r>
          </w:p>
        </w:tc>
        <w:tc>
          <w:tcPr>
            <w:tcW w:w="1080" w:type="dxa"/>
            <w:noWrap/>
            <w:hideMark/>
          </w:tcPr>
          <w:p w14:paraId="18FC752A" w14:textId="77777777" w:rsidR="00971E41" w:rsidRPr="00501CF6" w:rsidRDefault="00971E41" w:rsidP="00734601">
            <w:pPr>
              <w:jc w:val="center"/>
              <w:rPr>
                <w:sz w:val="20"/>
              </w:rPr>
            </w:pPr>
            <w:r w:rsidRPr="00501CF6">
              <w:rPr>
                <w:sz w:val="20"/>
              </w:rPr>
              <w:t>96</w:t>
            </w:r>
          </w:p>
        </w:tc>
        <w:tc>
          <w:tcPr>
            <w:tcW w:w="1530" w:type="dxa"/>
            <w:noWrap/>
            <w:hideMark/>
          </w:tcPr>
          <w:p w14:paraId="2827788B" w14:textId="77777777" w:rsidR="00971E41" w:rsidRPr="00501CF6" w:rsidRDefault="00971E41" w:rsidP="00734601">
            <w:pPr>
              <w:jc w:val="center"/>
              <w:rPr>
                <w:sz w:val="20"/>
              </w:rPr>
            </w:pPr>
            <w:r w:rsidRPr="00501CF6">
              <w:rPr>
                <w:sz w:val="20"/>
              </w:rPr>
              <w:t>17.1%</w:t>
            </w:r>
          </w:p>
        </w:tc>
        <w:tc>
          <w:tcPr>
            <w:tcW w:w="1266" w:type="dxa"/>
            <w:noWrap/>
            <w:hideMark/>
          </w:tcPr>
          <w:p w14:paraId="0D482D63" w14:textId="77777777" w:rsidR="00971E41" w:rsidRPr="00501CF6" w:rsidRDefault="00971E41" w:rsidP="00734601">
            <w:pPr>
              <w:jc w:val="center"/>
              <w:rPr>
                <w:sz w:val="20"/>
              </w:rPr>
            </w:pPr>
            <w:r w:rsidRPr="00501CF6">
              <w:rPr>
                <w:sz w:val="20"/>
              </w:rPr>
              <w:t>15.3%</w:t>
            </w:r>
          </w:p>
        </w:tc>
      </w:tr>
      <w:tr w:rsidR="00971E41" w:rsidRPr="00501CF6" w14:paraId="0C316CF1" w14:textId="77777777" w:rsidTr="00734601">
        <w:trPr>
          <w:trHeight w:val="300"/>
        </w:trPr>
        <w:tc>
          <w:tcPr>
            <w:tcW w:w="2628" w:type="dxa"/>
            <w:noWrap/>
            <w:hideMark/>
          </w:tcPr>
          <w:p w14:paraId="561386CE" w14:textId="77777777" w:rsidR="00971E41" w:rsidRPr="00501CF6" w:rsidRDefault="00971E41" w:rsidP="00734601">
            <w:pPr>
              <w:rPr>
                <w:sz w:val="20"/>
              </w:rPr>
            </w:pPr>
          </w:p>
        </w:tc>
        <w:tc>
          <w:tcPr>
            <w:tcW w:w="3060" w:type="dxa"/>
            <w:noWrap/>
            <w:hideMark/>
          </w:tcPr>
          <w:p w14:paraId="462777C2" w14:textId="77777777" w:rsidR="00971E41" w:rsidRPr="00501CF6" w:rsidRDefault="00971E41" w:rsidP="00734601">
            <w:pPr>
              <w:rPr>
                <w:sz w:val="20"/>
              </w:rPr>
            </w:pPr>
            <w:r w:rsidRPr="00501CF6">
              <w:rPr>
                <w:sz w:val="20"/>
              </w:rPr>
              <w:t>Sanitation, % Access</w:t>
            </w:r>
          </w:p>
        </w:tc>
        <w:tc>
          <w:tcPr>
            <w:tcW w:w="1080" w:type="dxa"/>
            <w:noWrap/>
            <w:hideMark/>
          </w:tcPr>
          <w:p w14:paraId="732A2F08" w14:textId="77777777" w:rsidR="00971E41" w:rsidRPr="00501CF6" w:rsidRDefault="00971E41" w:rsidP="00734601">
            <w:pPr>
              <w:jc w:val="center"/>
              <w:rPr>
                <w:sz w:val="20"/>
              </w:rPr>
            </w:pPr>
            <w:r w:rsidRPr="00501CF6">
              <w:rPr>
                <w:sz w:val="20"/>
              </w:rPr>
              <w:t>96</w:t>
            </w:r>
          </w:p>
        </w:tc>
        <w:tc>
          <w:tcPr>
            <w:tcW w:w="1530" w:type="dxa"/>
            <w:noWrap/>
            <w:hideMark/>
          </w:tcPr>
          <w:p w14:paraId="345B32C7" w14:textId="77777777" w:rsidR="00971E41" w:rsidRPr="00501CF6" w:rsidRDefault="00971E41" w:rsidP="00734601">
            <w:pPr>
              <w:jc w:val="center"/>
              <w:rPr>
                <w:sz w:val="20"/>
              </w:rPr>
            </w:pPr>
            <w:r w:rsidRPr="00501CF6">
              <w:rPr>
                <w:sz w:val="20"/>
              </w:rPr>
              <w:t>21.2%</w:t>
            </w:r>
          </w:p>
        </w:tc>
        <w:tc>
          <w:tcPr>
            <w:tcW w:w="1266" w:type="dxa"/>
            <w:noWrap/>
            <w:hideMark/>
          </w:tcPr>
          <w:p w14:paraId="29B7D349" w14:textId="77777777" w:rsidR="00971E41" w:rsidRPr="00501CF6" w:rsidRDefault="00971E41" w:rsidP="00734601">
            <w:pPr>
              <w:jc w:val="center"/>
              <w:rPr>
                <w:sz w:val="20"/>
              </w:rPr>
            </w:pPr>
            <w:r w:rsidRPr="00501CF6">
              <w:rPr>
                <w:sz w:val="20"/>
              </w:rPr>
              <w:t>18.0%</w:t>
            </w:r>
          </w:p>
        </w:tc>
      </w:tr>
      <w:tr w:rsidR="00971E41" w:rsidRPr="00501CF6" w14:paraId="5FC59131" w14:textId="77777777" w:rsidTr="00734601">
        <w:trPr>
          <w:trHeight w:val="300"/>
        </w:trPr>
        <w:tc>
          <w:tcPr>
            <w:tcW w:w="2628" w:type="dxa"/>
            <w:noWrap/>
            <w:hideMark/>
          </w:tcPr>
          <w:p w14:paraId="5F2D0FB9" w14:textId="77777777" w:rsidR="00971E41" w:rsidRPr="00501CF6" w:rsidRDefault="00971E41" w:rsidP="00734601">
            <w:pPr>
              <w:rPr>
                <w:sz w:val="20"/>
              </w:rPr>
            </w:pPr>
            <w:r w:rsidRPr="00501CF6">
              <w:rPr>
                <w:sz w:val="20"/>
              </w:rPr>
              <w:t>Education</w:t>
            </w:r>
          </w:p>
        </w:tc>
        <w:tc>
          <w:tcPr>
            <w:tcW w:w="3060" w:type="dxa"/>
            <w:noWrap/>
            <w:hideMark/>
          </w:tcPr>
          <w:p w14:paraId="5EC1128F" w14:textId="77777777" w:rsidR="00971E41" w:rsidRPr="00501CF6" w:rsidRDefault="00971E41" w:rsidP="00734601">
            <w:pPr>
              <w:rPr>
                <w:sz w:val="20"/>
              </w:rPr>
            </w:pPr>
            <w:r w:rsidRPr="00501CF6">
              <w:rPr>
                <w:sz w:val="20"/>
              </w:rPr>
              <w:t>Lag 10 girls primary enrollment</w:t>
            </w:r>
          </w:p>
        </w:tc>
        <w:tc>
          <w:tcPr>
            <w:tcW w:w="1080" w:type="dxa"/>
            <w:noWrap/>
            <w:hideMark/>
          </w:tcPr>
          <w:p w14:paraId="2FF1D66F" w14:textId="77777777" w:rsidR="00971E41" w:rsidRPr="00501CF6" w:rsidRDefault="00971E41" w:rsidP="00734601">
            <w:pPr>
              <w:jc w:val="center"/>
              <w:rPr>
                <w:sz w:val="20"/>
              </w:rPr>
            </w:pPr>
            <w:r w:rsidRPr="00501CF6">
              <w:rPr>
                <w:sz w:val="20"/>
              </w:rPr>
              <w:t>64</w:t>
            </w:r>
          </w:p>
        </w:tc>
        <w:tc>
          <w:tcPr>
            <w:tcW w:w="1530" w:type="dxa"/>
            <w:noWrap/>
            <w:hideMark/>
          </w:tcPr>
          <w:p w14:paraId="6BBC3C09" w14:textId="77777777" w:rsidR="00971E41" w:rsidRPr="00501CF6" w:rsidRDefault="00971E41" w:rsidP="00734601">
            <w:pPr>
              <w:jc w:val="center"/>
              <w:rPr>
                <w:sz w:val="20"/>
              </w:rPr>
            </w:pPr>
            <w:r w:rsidRPr="00501CF6">
              <w:rPr>
                <w:sz w:val="20"/>
              </w:rPr>
              <w:t>-0.8%</w:t>
            </w:r>
          </w:p>
        </w:tc>
        <w:tc>
          <w:tcPr>
            <w:tcW w:w="1266" w:type="dxa"/>
            <w:noWrap/>
            <w:hideMark/>
          </w:tcPr>
          <w:p w14:paraId="2F580BB3" w14:textId="77777777" w:rsidR="00971E41" w:rsidRPr="00501CF6" w:rsidRDefault="00971E41" w:rsidP="00734601">
            <w:pPr>
              <w:jc w:val="center"/>
              <w:rPr>
                <w:sz w:val="20"/>
              </w:rPr>
            </w:pPr>
            <w:r w:rsidRPr="00501CF6">
              <w:rPr>
                <w:sz w:val="20"/>
              </w:rPr>
              <w:t>1.5%</w:t>
            </w:r>
          </w:p>
        </w:tc>
      </w:tr>
      <w:tr w:rsidR="00971E41" w:rsidRPr="00501CF6" w14:paraId="2B3FF9F1" w14:textId="77777777" w:rsidTr="00734601">
        <w:trPr>
          <w:trHeight w:val="300"/>
        </w:trPr>
        <w:tc>
          <w:tcPr>
            <w:tcW w:w="2628" w:type="dxa"/>
            <w:noWrap/>
            <w:hideMark/>
          </w:tcPr>
          <w:p w14:paraId="395FE35C" w14:textId="77777777" w:rsidR="00971E41" w:rsidRPr="00501CF6" w:rsidRDefault="00971E41" w:rsidP="00734601">
            <w:pPr>
              <w:rPr>
                <w:sz w:val="20"/>
              </w:rPr>
            </w:pPr>
          </w:p>
        </w:tc>
        <w:tc>
          <w:tcPr>
            <w:tcW w:w="3060" w:type="dxa"/>
            <w:noWrap/>
            <w:hideMark/>
          </w:tcPr>
          <w:p w14:paraId="2EA2231B" w14:textId="77777777" w:rsidR="00971E41" w:rsidRPr="00501CF6" w:rsidRDefault="00971E41" w:rsidP="00734601">
            <w:pPr>
              <w:rPr>
                <w:sz w:val="20"/>
              </w:rPr>
            </w:pPr>
            <w:r w:rsidRPr="00501CF6">
              <w:rPr>
                <w:sz w:val="20"/>
              </w:rPr>
              <w:t>Lag 5 girls secondary enrollment</w:t>
            </w:r>
          </w:p>
        </w:tc>
        <w:tc>
          <w:tcPr>
            <w:tcW w:w="1080" w:type="dxa"/>
            <w:noWrap/>
            <w:hideMark/>
          </w:tcPr>
          <w:p w14:paraId="1D297EC1" w14:textId="77777777" w:rsidR="00971E41" w:rsidRPr="00501CF6" w:rsidRDefault="00971E41" w:rsidP="00734601">
            <w:pPr>
              <w:jc w:val="center"/>
              <w:rPr>
                <w:sz w:val="20"/>
              </w:rPr>
            </w:pPr>
            <w:r w:rsidRPr="00501CF6">
              <w:rPr>
                <w:sz w:val="20"/>
              </w:rPr>
              <w:t>64</w:t>
            </w:r>
          </w:p>
        </w:tc>
        <w:tc>
          <w:tcPr>
            <w:tcW w:w="1530" w:type="dxa"/>
            <w:noWrap/>
            <w:hideMark/>
          </w:tcPr>
          <w:p w14:paraId="5BF07193" w14:textId="77777777" w:rsidR="00971E41" w:rsidRPr="00501CF6" w:rsidRDefault="00971E41" w:rsidP="00734601">
            <w:pPr>
              <w:jc w:val="center"/>
              <w:rPr>
                <w:sz w:val="20"/>
              </w:rPr>
            </w:pPr>
            <w:r w:rsidRPr="00501CF6">
              <w:rPr>
                <w:sz w:val="20"/>
              </w:rPr>
              <w:t>19.7%</w:t>
            </w:r>
          </w:p>
        </w:tc>
        <w:tc>
          <w:tcPr>
            <w:tcW w:w="1266" w:type="dxa"/>
            <w:noWrap/>
            <w:hideMark/>
          </w:tcPr>
          <w:p w14:paraId="32420ED6" w14:textId="77777777" w:rsidR="00971E41" w:rsidRPr="00501CF6" w:rsidRDefault="00971E41" w:rsidP="00734601">
            <w:pPr>
              <w:jc w:val="center"/>
              <w:rPr>
                <w:sz w:val="20"/>
              </w:rPr>
            </w:pPr>
            <w:r w:rsidRPr="00501CF6">
              <w:rPr>
                <w:sz w:val="20"/>
              </w:rPr>
              <w:t>8.8%</w:t>
            </w:r>
          </w:p>
        </w:tc>
      </w:tr>
      <w:tr w:rsidR="00971E41" w:rsidRPr="00501CF6" w14:paraId="6A80B00A" w14:textId="77777777" w:rsidTr="00734601">
        <w:trPr>
          <w:trHeight w:val="300"/>
        </w:trPr>
        <w:tc>
          <w:tcPr>
            <w:tcW w:w="2628" w:type="dxa"/>
            <w:noWrap/>
            <w:hideMark/>
          </w:tcPr>
          <w:p w14:paraId="50644FFE" w14:textId="77777777" w:rsidR="00971E41" w:rsidRPr="00501CF6" w:rsidRDefault="00971E41" w:rsidP="00734601">
            <w:pPr>
              <w:rPr>
                <w:sz w:val="20"/>
              </w:rPr>
            </w:pPr>
          </w:p>
        </w:tc>
        <w:tc>
          <w:tcPr>
            <w:tcW w:w="3060" w:type="dxa"/>
            <w:noWrap/>
            <w:hideMark/>
          </w:tcPr>
          <w:p w14:paraId="335D9B04" w14:textId="77777777" w:rsidR="00971E41" w:rsidRPr="00501CF6" w:rsidRDefault="00971E41" w:rsidP="00734601">
            <w:pPr>
              <w:rPr>
                <w:sz w:val="20"/>
              </w:rPr>
            </w:pPr>
            <w:r w:rsidRPr="00501CF6">
              <w:rPr>
                <w:sz w:val="20"/>
              </w:rPr>
              <w:t>Lag 5 gross secondary enrollment</w:t>
            </w:r>
          </w:p>
        </w:tc>
        <w:tc>
          <w:tcPr>
            <w:tcW w:w="1080" w:type="dxa"/>
            <w:noWrap/>
            <w:hideMark/>
          </w:tcPr>
          <w:p w14:paraId="2910B6D4" w14:textId="77777777" w:rsidR="00971E41" w:rsidRPr="00501CF6" w:rsidRDefault="00971E41" w:rsidP="00734601">
            <w:pPr>
              <w:jc w:val="center"/>
              <w:rPr>
                <w:sz w:val="20"/>
              </w:rPr>
            </w:pPr>
            <w:r w:rsidRPr="00501CF6">
              <w:rPr>
                <w:sz w:val="20"/>
              </w:rPr>
              <w:t>64</w:t>
            </w:r>
          </w:p>
        </w:tc>
        <w:tc>
          <w:tcPr>
            <w:tcW w:w="1530" w:type="dxa"/>
            <w:noWrap/>
            <w:hideMark/>
          </w:tcPr>
          <w:p w14:paraId="0142BCB5" w14:textId="77777777" w:rsidR="00971E41" w:rsidRPr="00501CF6" w:rsidRDefault="00971E41" w:rsidP="00734601">
            <w:pPr>
              <w:jc w:val="center"/>
              <w:rPr>
                <w:sz w:val="20"/>
              </w:rPr>
            </w:pPr>
            <w:r w:rsidRPr="00501CF6">
              <w:rPr>
                <w:sz w:val="20"/>
              </w:rPr>
              <w:t>16.7%</w:t>
            </w:r>
          </w:p>
        </w:tc>
        <w:tc>
          <w:tcPr>
            <w:tcW w:w="1266" w:type="dxa"/>
            <w:noWrap/>
            <w:hideMark/>
          </w:tcPr>
          <w:p w14:paraId="784E2F7C" w14:textId="77777777" w:rsidR="00971E41" w:rsidRPr="00501CF6" w:rsidRDefault="00971E41" w:rsidP="00734601">
            <w:pPr>
              <w:jc w:val="center"/>
              <w:rPr>
                <w:sz w:val="20"/>
              </w:rPr>
            </w:pPr>
            <w:r w:rsidRPr="00501CF6">
              <w:rPr>
                <w:sz w:val="20"/>
              </w:rPr>
              <w:t>7.0%</w:t>
            </w:r>
          </w:p>
        </w:tc>
      </w:tr>
      <w:tr w:rsidR="00971E41" w:rsidRPr="00501CF6" w14:paraId="5AB0090E" w14:textId="77777777" w:rsidTr="00734601">
        <w:trPr>
          <w:trHeight w:val="300"/>
        </w:trPr>
        <w:tc>
          <w:tcPr>
            <w:tcW w:w="2628" w:type="dxa"/>
            <w:noWrap/>
            <w:hideMark/>
          </w:tcPr>
          <w:p w14:paraId="65EE6F15" w14:textId="77777777" w:rsidR="00971E41" w:rsidRPr="00501CF6" w:rsidRDefault="00971E41" w:rsidP="00734601">
            <w:pPr>
              <w:rPr>
                <w:sz w:val="20"/>
              </w:rPr>
            </w:pPr>
            <w:r w:rsidRPr="00501CF6">
              <w:rPr>
                <w:sz w:val="20"/>
              </w:rPr>
              <w:t>Infrastructure</w:t>
            </w:r>
          </w:p>
        </w:tc>
        <w:tc>
          <w:tcPr>
            <w:tcW w:w="3060" w:type="dxa"/>
            <w:noWrap/>
            <w:hideMark/>
          </w:tcPr>
          <w:p w14:paraId="072877B6" w14:textId="77777777" w:rsidR="00971E41" w:rsidRPr="00501CF6" w:rsidRDefault="00971E41" w:rsidP="00734601">
            <w:pPr>
              <w:rPr>
                <w:sz w:val="20"/>
              </w:rPr>
            </w:pPr>
            <w:r w:rsidRPr="00501CF6">
              <w:rPr>
                <w:sz w:val="20"/>
              </w:rPr>
              <w:t>Rural Electricity, % Access</w:t>
            </w:r>
          </w:p>
        </w:tc>
        <w:tc>
          <w:tcPr>
            <w:tcW w:w="1080" w:type="dxa"/>
            <w:noWrap/>
            <w:hideMark/>
          </w:tcPr>
          <w:p w14:paraId="368536FE" w14:textId="77777777" w:rsidR="00971E41" w:rsidRPr="00501CF6" w:rsidRDefault="00971E41" w:rsidP="00734601">
            <w:pPr>
              <w:jc w:val="center"/>
              <w:rPr>
                <w:sz w:val="20"/>
              </w:rPr>
            </w:pPr>
            <w:r w:rsidRPr="00501CF6">
              <w:rPr>
                <w:sz w:val="20"/>
              </w:rPr>
              <w:t>96</w:t>
            </w:r>
          </w:p>
        </w:tc>
        <w:tc>
          <w:tcPr>
            <w:tcW w:w="1530" w:type="dxa"/>
            <w:noWrap/>
            <w:hideMark/>
          </w:tcPr>
          <w:p w14:paraId="2F9B78C1" w14:textId="77777777" w:rsidR="00971E41" w:rsidRPr="00501CF6" w:rsidRDefault="00971E41" w:rsidP="00734601">
            <w:pPr>
              <w:jc w:val="center"/>
              <w:rPr>
                <w:sz w:val="20"/>
              </w:rPr>
            </w:pPr>
            <w:r w:rsidRPr="00501CF6">
              <w:rPr>
                <w:sz w:val="20"/>
              </w:rPr>
              <w:t>-0.5%</w:t>
            </w:r>
          </w:p>
        </w:tc>
        <w:tc>
          <w:tcPr>
            <w:tcW w:w="1266" w:type="dxa"/>
            <w:noWrap/>
            <w:hideMark/>
          </w:tcPr>
          <w:p w14:paraId="7A744CB7" w14:textId="77777777" w:rsidR="00971E41" w:rsidRPr="00501CF6" w:rsidRDefault="00971E41" w:rsidP="00734601">
            <w:pPr>
              <w:jc w:val="center"/>
              <w:rPr>
                <w:sz w:val="20"/>
              </w:rPr>
            </w:pPr>
            <w:r w:rsidRPr="00501CF6">
              <w:rPr>
                <w:sz w:val="20"/>
              </w:rPr>
              <w:t>-0.8%</w:t>
            </w:r>
          </w:p>
        </w:tc>
      </w:tr>
      <w:tr w:rsidR="00971E41" w:rsidRPr="00501CF6" w14:paraId="6C64D22E" w14:textId="77777777" w:rsidTr="00734601">
        <w:trPr>
          <w:trHeight w:val="300"/>
        </w:trPr>
        <w:tc>
          <w:tcPr>
            <w:tcW w:w="2628" w:type="dxa"/>
            <w:noWrap/>
            <w:hideMark/>
          </w:tcPr>
          <w:p w14:paraId="2E58529A" w14:textId="77777777" w:rsidR="00971E41" w:rsidRPr="00501CF6" w:rsidRDefault="00971E41" w:rsidP="00734601">
            <w:pPr>
              <w:rPr>
                <w:sz w:val="20"/>
              </w:rPr>
            </w:pPr>
            <w:r w:rsidRPr="00501CF6">
              <w:rPr>
                <w:sz w:val="20"/>
              </w:rPr>
              <w:t>Urbanization</w:t>
            </w:r>
          </w:p>
        </w:tc>
        <w:tc>
          <w:tcPr>
            <w:tcW w:w="3060" w:type="dxa"/>
            <w:noWrap/>
            <w:hideMark/>
          </w:tcPr>
          <w:p w14:paraId="0D65A2BC" w14:textId="77777777" w:rsidR="00971E41" w:rsidRPr="00501CF6" w:rsidRDefault="00971E41" w:rsidP="00734601">
            <w:pPr>
              <w:rPr>
                <w:sz w:val="20"/>
              </w:rPr>
            </w:pPr>
            <w:r w:rsidRPr="00501CF6">
              <w:rPr>
                <w:sz w:val="20"/>
              </w:rPr>
              <w:t>% Urbanized</w:t>
            </w:r>
          </w:p>
        </w:tc>
        <w:tc>
          <w:tcPr>
            <w:tcW w:w="1080" w:type="dxa"/>
            <w:noWrap/>
            <w:hideMark/>
          </w:tcPr>
          <w:p w14:paraId="0F20B009" w14:textId="77777777" w:rsidR="00971E41" w:rsidRPr="00501CF6" w:rsidRDefault="00971E41" w:rsidP="00734601">
            <w:pPr>
              <w:jc w:val="center"/>
              <w:rPr>
                <w:sz w:val="20"/>
              </w:rPr>
            </w:pPr>
            <w:r w:rsidRPr="00501CF6">
              <w:rPr>
                <w:sz w:val="20"/>
              </w:rPr>
              <w:t>96</w:t>
            </w:r>
          </w:p>
        </w:tc>
        <w:tc>
          <w:tcPr>
            <w:tcW w:w="1530" w:type="dxa"/>
            <w:noWrap/>
            <w:hideMark/>
          </w:tcPr>
          <w:p w14:paraId="740E0369" w14:textId="77777777" w:rsidR="00971E41" w:rsidRPr="00501CF6" w:rsidRDefault="00971E41" w:rsidP="00734601">
            <w:pPr>
              <w:jc w:val="center"/>
              <w:rPr>
                <w:sz w:val="20"/>
              </w:rPr>
            </w:pPr>
            <w:r w:rsidRPr="00501CF6">
              <w:rPr>
                <w:sz w:val="20"/>
              </w:rPr>
              <w:t>7.2%</w:t>
            </w:r>
          </w:p>
        </w:tc>
        <w:tc>
          <w:tcPr>
            <w:tcW w:w="1266" w:type="dxa"/>
            <w:noWrap/>
            <w:hideMark/>
          </w:tcPr>
          <w:p w14:paraId="58A5D18C" w14:textId="77777777" w:rsidR="00971E41" w:rsidRPr="00501CF6" w:rsidRDefault="00971E41" w:rsidP="00734601">
            <w:pPr>
              <w:jc w:val="center"/>
              <w:rPr>
                <w:sz w:val="20"/>
              </w:rPr>
            </w:pPr>
            <w:r w:rsidRPr="00501CF6">
              <w:rPr>
                <w:sz w:val="20"/>
              </w:rPr>
              <w:t>4.9%</w:t>
            </w:r>
          </w:p>
        </w:tc>
      </w:tr>
      <w:tr w:rsidR="00971E41" w:rsidRPr="00501CF6" w14:paraId="3B6D83A6" w14:textId="77777777" w:rsidTr="00734601">
        <w:trPr>
          <w:trHeight w:val="300"/>
        </w:trPr>
        <w:tc>
          <w:tcPr>
            <w:tcW w:w="2628" w:type="dxa"/>
            <w:noWrap/>
            <w:hideMark/>
          </w:tcPr>
          <w:p w14:paraId="72E0253F" w14:textId="77777777" w:rsidR="00971E41" w:rsidRPr="00501CF6" w:rsidRDefault="00971E41" w:rsidP="00734601">
            <w:pPr>
              <w:rPr>
                <w:sz w:val="20"/>
              </w:rPr>
            </w:pPr>
            <w:r w:rsidRPr="00501CF6">
              <w:rPr>
                <w:sz w:val="20"/>
              </w:rPr>
              <w:t>Gender Equality</w:t>
            </w:r>
          </w:p>
        </w:tc>
        <w:tc>
          <w:tcPr>
            <w:tcW w:w="3060" w:type="dxa"/>
            <w:noWrap/>
            <w:hideMark/>
          </w:tcPr>
          <w:p w14:paraId="1C01C984" w14:textId="77777777" w:rsidR="00971E41" w:rsidRPr="00501CF6" w:rsidRDefault="00971E41" w:rsidP="00734601">
            <w:pPr>
              <w:rPr>
                <w:sz w:val="20"/>
              </w:rPr>
            </w:pPr>
            <w:r w:rsidRPr="00501CF6">
              <w:rPr>
                <w:sz w:val="20"/>
              </w:rPr>
              <w:t>Legislators, % Women</w:t>
            </w:r>
          </w:p>
        </w:tc>
        <w:tc>
          <w:tcPr>
            <w:tcW w:w="1080" w:type="dxa"/>
            <w:noWrap/>
            <w:hideMark/>
          </w:tcPr>
          <w:p w14:paraId="0B9C8886" w14:textId="77777777" w:rsidR="00971E41" w:rsidRPr="00501CF6" w:rsidRDefault="00971E41" w:rsidP="00734601">
            <w:pPr>
              <w:jc w:val="center"/>
              <w:rPr>
                <w:sz w:val="20"/>
              </w:rPr>
            </w:pPr>
            <w:r w:rsidRPr="00501CF6">
              <w:rPr>
                <w:sz w:val="20"/>
              </w:rPr>
              <w:t>96</w:t>
            </w:r>
          </w:p>
        </w:tc>
        <w:tc>
          <w:tcPr>
            <w:tcW w:w="1530" w:type="dxa"/>
            <w:noWrap/>
            <w:hideMark/>
          </w:tcPr>
          <w:p w14:paraId="0F2E3FAB" w14:textId="77777777" w:rsidR="00971E41" w:rsidRPr="00501CF6" w:rsidRDefault="00971E41" w:rsidP="00734601">
            <w:pPr>
              <w:jc w:val="center"/>
              <w:rPr>
                <w:sz w:val="20"/>
              </w:rPr>
            </w:pPr>
            <w:r w:rsidRPr="00501CF6">
              <w:rPr>
                <w:sz w:val="20"/>
              </w:rPr>
              <w:t>2.0%</w:t>
            </w:r>
          </w:p>
        </w:tc>
        <w:tc>
          <w:tcPr>
            <w:tcW w:w="1266" w:type="dxa"/>
            <w:noWrap/>
            <w:hideMark/>
          </w:tcPr>
          <w:p w14:paraId="7C4D456E" w14:textId="77777777" w:rsidR="00971E41" w:rsidRPr="00501CF6" w:rsidRDefault="00971E41" w:rsidP="00734601">
            <w:pPr>
              <w:jc w:val="center"/>
              <w:rPr>
                <w:sz w:val="20"/>
              </w:rPr>
            </w:pPr>
            <w:r w:rsidRPr="00501CF6">
              <w:rPr>
                <w:sz w:val="20"/>
              </w:rPr>
              <w:t>3.5%</w:t>
            </w:r>
          </w:p>
        </w:tc>
      </w:tr>
      <w:tr w:rsidR="00971E41" w:rsidRPr="00501CF6" w14:paraId="42573E23" w14:textId="77777777" w:rsidTr="00734601">
        <w:trPr>
          <w:trHeight w:val="300"/>
        </w:trPr>
        <w:tc>
          <w:tcPr>
            <w:tcW w:w="2628" w:type="dxa"/>
            <w:noWrap/>
            <w:hideMark/>
          </w:tcPr>
          <w:p w14:paraId="7360465A" w14:textId="77777777" w:rsidR="00971E41" w:rsidRPr="00501CF6" w:rsidRDefault="00971E41" w:rsidP="00734601">
            <w:pPr>
              <w:rPr>
                <w:sz w:val="20"/>
              </w:rPr>
            </w:pPr>
          </w:p>
        </w:tc>
        <w:tc>
          <w:tcPr>
            <w:tcW w:w="3060" w:type="dxa"/>
            <w:noWrap/>
            <w:hideMark/>
          </w:tcPr>
          <w:p w14:paraId="4F77DCBC" w14:textId="77777777" w:rsidR="00971E41" w:rsidRPr="00501CF6" w:rsidRDefault="00971E41" w:rsidP="00734601">
            <w:pPr>
              <w:rPr>
                <w:sz w:val="20"/>
              </w:rPr>
            </w:pPr>
            <w:r w:rsidRPr="00501CF6">
              <w:rPr>
                <w:sz w:val="20"/>
              </w:rPr>
              <w:t>Labor Force Participation, Women</w:t>
            </w:r>
          </w:p>
        </w:tc>
        <w:tc>
          <w:tcPr>
            <w:tcW w:w="1080" w:type="dxa"/>
            <w:noWrap/>
            <w:hideMark/>
          </w:tcPr>
          <w:p w14:paraId="445C03D2" w14:textId="77777777" w:rsidR="00971E41" w:rsidRPr="00501CF6" w:rsidRDefault="00971E41" w:rsidP="00734601">
            <w:pPr>
              <w:jc w:val="center"/>
              <w:rPr>
                <w:sz w:val="20"/>
              </w:rPr>
            </w:pPr>
            <w:r w:rsidRPr="00501CF6">
              <w:rPr>
                <w:sz w:val="20"/>
              </w:rPr>
              <w:t>96</w:t>
            </w:r>
          </w:p>
        </w:tc>
        <w:tc>
          <w:tcPr>
            <w:tcW w:w="1530" w:type="dxa"/>
            <w:noWrap/>
            <w:hideMark/>
          </w:tcPr>
          <w:p w14:paraId="190B5BDE" w14:textId="77777777" w:rsidR="00971E41" w:rsidRPr="00501CF6" w:rsidRDefault="00971E41" w:rsidP="00734601">
            <w:pPr>
              <w:jc w:val="center"/>
              <w:rPr>
                <w:sz w:val="20"/>
              </w:rPr>
            </w:pPr>
            <w:r w:rsidRPr="00501CF6">
              <w:rPr>
                <w:sz w:val="20"/>
              </w:rPr>
              <w:t>-2.6%</w:t>
            </w:r>
          </w:p>
        </w:tc>
        <w:tc>
          <w:tcPr>
            <w:tcW w:w="1266" w:type="dxa"/>
            <w:noWrap/>
            <w:hideMark/>
          </w:tcPr>
          <w:p w14:paraId="63D01F8D" w14:textId="77777777" w:rsidR="00971E41" w:rsidRPr="00501CF6" w:rsidRDefault="00971E41" w:rsidP="00734601">
            <w:pPr>
              <w:jc w:val="center"/>
              <w:rPr>
                <w:sz w:val="20"/>
              </w:rPr>
            </w:pPr>
            <w:r w:rsidRPr="00501CF6">
              <w:rPr>
                <w:sz w:val="20"/>
              </w:rPr>
              <w:t>0.3%</w:t>
            </w:r>
          </w:p>
        </w:tc>
      </w:tr>
    </w:tbl>
    <w:p w14:paraId="16027D0B" w14:textId="77777777" w:rsidR="00320D64" w:rsidRDefault="00320D64" w:rsidP="00320D64">
      <w:pPr>
        <w:spacing w:after="200" w:line="276" w:lineRule="auto"/>
      </w:pPr>
    </w:p>
    <w:p w14:paraId="4A34505F" w14:textId="77777777" w:rsidR="00F61953" w:rsidRDefault="00F61953" w:rsidP="00320D64">
      <w:pPr>
        <w:spacing w:after="200" w:line="276" w:lineRule="auto"/>
      </w:pPr>
    </w:p>
    <w:p w14:paraId="2A505FC3" w14:textId="77777777" w:rsidR="00320D64" w:rsidRDefault="00320D64" w:rsidP="00320D64">
      <w:pPr>
        <w:spacing w:after="200" w:line="276" w:lineRule="auto"/>
      </w:pPr>
    </w:p>
    <w:p w14:paraId="4E100956" w14:textId="77777777" w:rsidR="006B7233" w:rsidRDefault="006B7233" w:rsidP="00320D64">
      <w:pPr>
        <w:spacing w:after="200" w:line="276" w:lineRule="auto"/>
      </w:pPr>
    </w:p>
    <w:p w14:paraId="54DD5DC7" w14:textId="77777777" w:rsidR="006B7233" w:rsidRDefault="006B7233" w:rsidP="00320D64">
      <w:pPr>
        <w:spacing w:after="200" w:line="276" w:lineRule="auto"/>
      </w:pPr>
    </w:p>
    <w:p w14:paraId="4B63816B" w14:textId="77777777" w:rsidR="006B7233" w:rsidRDefault="006B7233" w:rsidP="00320D64">
      <w:pPr>
        <w:spacing w:after="200" w:line="276" w:lineRule="auto"/>
      </w:pPr>
    </w:p>
    <w:p w14:paraId="4368D5D0" w14:textId="77777777" w:rsidR="006B7233" w:rsidRDefault="006B7233" w:rsidP="00320D64">
      <w:pPr>
        <w:spacing w:after="200" w:line="276" w:lineRule="auto"/>
      </w:pPr>
    </w:p>
    <w:p w14:paraId="27DF74A4" w14:textId="77777777" w:rsidR="006B7233" w:rsidRDefault="006B7233" w:rsidP="00320D64">
      <w:pPr>
        <w:spacing w:after="200" w:line="276" w:lineRule="auto"/>
      </w:pPr>
    </w:p>
    <w:p w14:paraId="428A7685" w14:textId="77777777" w:rsidR="006B7233" w:rsidRDefault="006B7233" w:rsidP="00320D64">
      <w:pPr>
        <w:spacing w:after="200" w:line="276" w:lineRule="auto"/>
      </w:pPr>
    </w:p>
    <w:p w14:paraId="4A74D986" w14:textId="77777777" w:rsidR="00A97D58" w:rsidRDefault="00A97D58" w:rsidP="007F6CA5">
      <w:pPr>
        <w:spacing w:after="200" w:line="276" w:lineRule="auto"/>
      </w:pPr>
    </w:p>
    <w:p w14:paraId="1A70744D" w14:textId="703064B6" w:rsidR="00971E41" w:rsidRDefault="00320D64" w:rsidP="007F6CA5">
      <w:pPr>
        <w:spacing w:after="200" w:line="276" w:lineRule="auto"/>
      </w:pPr>
      <w:r>
        <w:lastRenderedPageBreak/>
        <w:t xml:space="preserve">Appendix Table </w:t>
      </w:r>
      <w:r w:rsidR="00040C2C">
        <w:t>C</w:t>
      </w:r>
      <w:r>
        <w:t xml:space="preserve"> Sensitivity to imputation for MMR models </w:t>
      </w:r>
    </w:p>
    <w:tbl>
      <w:tblPr>
        <w:tblStyle w:val="TableGrid"/>
        <w:tblW w:w="0" w:type="auto"/>
        <w:tblLook w:val="04A0" w:firstRow="1" w:lastRow="0" w:firstColumn="1" w:lastColumn="0" w:noHBand="0" w:noVBand="1"/>
      </w:tblPr>
      <w:tblGrid>
        <w:gridCol w:w="2628"/>
        <w:gridCol w:w="2970"/>
        <w:gridCol w:w="1080"/>
        <w:gridCol w:w="1530"/>
        <w:gridCol w:w="1368"/>
      </w:tblGrid>
      <w:tr w:rsidR="00320D64" w:rsidRPr="00501CF6" w14:paraId="72FFB1AB" w14:textId="77777777" w:rsidTr="00734601">
        <w:trPr>
          <w:trHeight w:val="300"/>
        </w:trPr>
        <w:tc>
          <w:tcPr>
            <w:tcW w:w="2628" w:type="dxa"/>
            <w:noWrap/>
            <w:hideMark/>
          </w:tcPr>
          <w:p w14:paraId="2DC49A1B" w14:textId="77777777" w:rsidR="00320D64" w:rsidRPr="002C2889" w:rsidRDefault="00320D64" w:rsidP="00734601">
            <w:pPr>
              <w:jc w:val="center"/>
              <w:rPr>
                <w:b/>
                <w:sz w:val="20"/>
              </w:rPr>
            </w:pPr>
            <w:r w:rsidRPr="002C2889">
              <w:rPr>
                <w:b/>
                <w:sz w:val="20"/>
              </w:rPr>
              <w:t>Policy Area</w:t>
            </w:r>
          </w:p>
        </w:tc>
        <w:tc>
          <w:tcPr>
            <w:tcW w:w="2970" w:type="dxa"/>
            <w:noWrap/>
            <w:hideMark/>
          </w:tcPr>
          <w:p w14:paraId="6A58D480" w14:textId="77777777" w:rsidR="00320D64" w:rsidRPr="002C2889" w:rsidRDefault="00320D64" w:rsidP="00734601">
            <w:pPr>
              <w:jc w:val="center"/>
              <w:rPr>
                <w:b/>
                <w:sz w:val="20"/>
              </w:rPr>
            </w:pPr>
            <w:r w:rsidRPr="002C2889">
              <w:rPr>
                <w:b/>
                <w:sz w:val="20"/>
              </w:rPr>
              <w:t>Indicator</w:t>
            </w:r>
          </w:p>
        </w:tc>
        <w:tc>
          <w:tcPr>
            <w:tcW w:w="1080" w:type="dxa"/>
            <w:noWrap/>
            <w:hideMark/>
          </w:tcPr>
          <w:p w14:paraId="6CDD1268" w14:textId="77777777" w:rsidR="00320D64" w:rsidRPr="002C2889" w:rsidRDefault="00320D64" w:rsidP="00734601">
            <w:pPr>
              <w:jc w:val="center"/>
              <w:rPr>
                <w:b/>
                <w:sz w:val="20"/>
              </w:rPr>
            </w:pPr>
            <w:r w:rsidRPr="002C2889">
              <w:rPr>
                <w:b/>
                <w:sz w:val="20"/>
              </w:rPr>
              <w:t>Number of models</w:t>
            </w:r>
          </w:p>
        </w:tc>
        <w:tc>
          <w:tcPr>
            <w:tcW w:w="1530" w:type="dxa"/>
            <w:noWrap/>
            <w:hideMark/>
          </w:tcPr>
          <w:p w14:paraId="78180CCC" w14:textId="77777777" w:rsidR="00320D64" w:rsidRPr="002C2889" w:rsidRDefault="00320D64" w:rsidP="00734601">
            <w:pPr>
              <w:jc w:val="center"/>
              <w:rPr>
                <w:b/>
                <w:sz w:val="20"/>
              </w:rPr>
            </w:pPr>
            <w:r w:rsidRPr="002C2889">
              <w:rPr>
                <w:b/>
                <w:sz w:val="20"/>
              </w:rPr>
              <w:t>Models with no imputation*</w:t>
            </w:r>
          </w:p>
        </w:tc>
        <w:tc>
          <w:tcPr>
            <w:tcW w:w="1368" w:type="dxa"/>
            <w:noWrap/>
            <w:hideMark/>
          </w:tcPr>
          <w:p w14:paraId="4DAFF967" w14:textId="77777777" w:rsidR="00320D64" w:rsidRPr="002C2889" w:rsidRDefault="00320D64" w:rsidP="00734601">
            <w:pPr>
              <w:jc w:val="center"/>
              <w:rPr>
                <w:b/>
                <w:sz w:val="20"/>
              </w:rPr>
            </w:pPr>
            <w:r w:rsidRPr="002C2889">
              <w:rPr>
                <w:b/>
                <w:sz w:val="20"/>
              </w:rPr>
              <w:t>Models with imputation*</w:t>
            </w:r>
          </w:p>
        </w:tc>
      </w:tr>
      <w:tr w:rsidR="00D81B57" w:rsidRPr="00501CF6" w14:paraId="694FD17A" w14:textId="77777777" w:rsidTr="00D81B57">
        <w:trPr>
          <w:trHeight w:val="300"/>
        </w:trPr>
        <w:tc>
          <w:tcPr>
            <w:tcW w:w="2628" w:type="dxa"/>
            <w:noWrap/>
            <w:hideMark/>
          </w:tcPr>
          <w:p w14:paraId="564FD160" w14:textId="77777777" w:rsidR="00D81B57" w:rsidRPr="002C2889" w:rsidRDefault="00D81B57" w:rsidP="00D81B57">
            <w:pPr>
              <w:rPr>
                <w:sz w:val="20"/>
              </w:rPr>
            </w:pPr>
            <w:r w:rsidRPr="002C2889">
              <w:rPr>
                <w:sz w:val="20"/>
              </w:rPr>
              <w:t>GDP per capita</w:t>
            </w:r>
          </w:p>
        </w:tc>
        <w:tc>
          <w:tcPr>
            <w:tcW w:w="2970" w:type="dxa"/>
            <w:noWrap/>
            <w:hideMark/>
          </w:tcPr>
          <w:p w14:paraId="4F202B36" w14:textId="77777777" w:rsidR="00D81B57" w:rsidRPr="002C2889" w:rsidRDefault="00D81B57" w:rsidP="00D81B57">
            <w:pPr>
              <w:rPr>
                <w:sz w:val="20"/>
              </w:rPr>
            </w:pPr>
            <w:r w:rsidRPr="002C2889">
              <w:rPr>
                <w:sz w:val="20"/>
              </w:rPr>
              <w:t>Log GDP per capita</w:t>
            </w:r>
          </w:p>
        </w:tc>
        <w:tc>
          <w:tcPr>
            <w:tcW w:w="1080" w:type="dxa"/>
            <w:noWrap/>
            <w:hideMark/>
          </w:tcPr>
          <w:p w14:paraId="2026A091" w14:textId="77777777" w:rsidR="00D81B57" w:rsidRPr="002C2889" w:rsidRDefault="00D81B57" w:rsidP="00D81B57">
            <w:pPr>
              <w:jc w:val="center"/>
              <w:rPr>
                <w:sz w:val="20"/>
              </w:rPr>
            </w:pPr>
            <w:r w:rsidRPr="002C2889">
              <w:rPr>
                <w:sz w:val="20"/>
              </w:rPr>
              <w:t>108</w:t>
            </w:r>
          </w:p>
        </w:tc>
        <w:tc>
          <w:tcPr>
            <w:tcW w:w="1530" w:type="dxa"/>
            <w:noWrap/>
          </w:tcPr>
          <w:p w14:paraId="04EAAE60" w14:textId="49EB812A" w:rsidR="00D81B57" w:rsidRPr="002C2889" w:rsidRDefault="00D81B57" w:rsidP="00D81B57">
            <w:pPr>
              <w:jc w:val="center"/>
              <w:rPr>
                <w:sz w:val="20"/>
              </w:rPr>
            </w:pPr>
            <w:r>
              <w:rPr>
                <w:sz w:val="20"/>
              </w:rPr>
              <w:t>41.8%</w:t>
            </w:r>
          </w:p>
        </w:tc>
        <w:tc>
          <w:tcPr>
            <w:tcW w:w="1368" w:type="dxa"/>
            <w:noWrap/>
            <w:hideMark/>
          </w:tcPr>
          <w:p w14:paraId="3A30483B" w14:textId="38B8BDC6" w:rsidR="00D81B57" w:rsidRPr="002C2889" w:rsidRDefault="00D81B57" w:rsidP="00D81B57">
            <w:pPr>
              <w:jc w:val="center"/>
              <w:rPr>
                <w:sz w:val="20"/>
              </w:rPr>
            </w:pPr>
            <w:r>
              <w:rPr>
                <w:sz w:val="20"/>
              </w:rPr>
              <w:t>30.6</w:t>
            </w:r>
            <w:r w:rsidRPr="002C2889">
              <w:rPr>
                <w:sz w:val="20"/>
              </w:rPr>
              <w:t>%</w:t>
            </w:r>
          </w:p>
        </w:tc>
      </w:tr>
      <w:tr w:rsidR="00D81B57" w:rsidRPr="00501CF6" w14:paraId="7E181004" w14:textId="77777777" w:rsidTr="00D81B57">
        <w:trPr>
          <w:trHeight w:val="300"/>
        </w:trPr>
        <w:tc>
          <w:tcPr>
            <w:tcW w:w="2628" w:type="dxa"/>
            <w:noWrap/>
            <w:hideMark/>
          </w:tcPr>
          <w:p w14:paraId="3624318D" w14:textId="77777777" w:rsidR="00D81B57" w:rsidRPr="002C2889" w:rsidRDefault="00D81B57" w:rsidP="00D81B57">
            <w:pPr>
              <w:rPr>
                <w:sz w:val="20"/>
              </w:rPr>
            </w:pPr>
            <w:r w:rsidRPr="002C2889">
              <w:rPr>
                <w:sz w:val="20"/>
              </w:rPr>
              <w:t>Health Service Delivery</w:t>
            </w:r>
          </w:p>
        </w:tc>
        <w:tc>
          <w:tcPr>
            <w:tcW w:w="2970" w:type="dxa"/>
            <w:noWrap/>
            <w:hideMark/>
          </w:tcPr>
          <w:p w14:paraId="258DCE35" w14:textId="77777777" w:rsidR="00D81B57" w:rsidRPr="002C2889" w:rsidRDefault="00D81B57" w:rsidP="00D81B57">
            <w:pPr>
              <w:rPr>
                <w:sz w:val="20"/>
              </w:rPr>
            </w:pPr>
            <w:r w:rsidRPr="002C2889">
              <w:rPr>
                <w:sz w:val="20"/>
              </w:rPr>
              <w:t>Skilled Birth Attendance</w:t>
            </w:r>
          </w:p>
        </w:tc>
        <w:tc>
          <w:tcPr>
            <w:tcW w:w="1080" w:type="dxa"/>
            <w:noWrap/>
            <w:hideMark/>
          </w:tcPr>
          <w:p w14:paraId="4C2C94E1" w14:textId="77777777" w:rsidR="00D81B57" w:rsidRPr="002C2889" w:rsidRDefault="00D81B57" w:rsidP="00D81B57">
            <w:pPr>
              <w:jc w:val="center"/>
              <w:rPr>
                <w:sz w:val="20"/>
              </w:rPr>
            </w:pPr>
            <w:r w:rsidRPr="002C2889">
              <w:rPr>
                <w:sz w:val="20"/>
              </w:rPr>
              <w:t>72</w:t>
            </w:r>
          </w:p>
        </w:tc>
        <w:tc>
          <w:tcPr>
            <w:tcW w:w="1530" w:type="dxa"/>
            <w:noWrap/>
          </w:tcPr>
          <w:p w14:paraId="65585C78" w14:textId="4B1D9BB6" w:rsidR="00D81B57" w:rsidRPr="002C2889" w:rsidRDefault="00D81B57" w:rsidP="00D81B57">
            <w:pPr>
              <w:jc w:val="center"/>
              <w:rPr>
                <w:sz w:val="20"/>
              </w:rPr>
            </w:pPr>
            <w:r>
              <w:rPr>
                <w:sz w:val="20"/>
              </w:rPr>
              <w:t>33.0%</w:t>
            </w:r>
          </w:p>
        </w:tc>
        <w:tc>
          <w:tcPr>
            <w:tcW w:w="1368" w:type="dxa"/>
            <w:noWrap/>
            <w:hideMark/>
          </w:tcPr>
          <w:p w14:paraId="09E0548B" w14:textId="350D79FC" w:rsidR="00D81B57" w:rsidRPr="002C2889" w:rsidRDefault="00D81B57" w:rsidP="00D81B57">
            <w:pPr>
              <w:jc w:val="center"/>
              <w:rPr>
                <w:sz w:val="20"/>
              </w:rPr>
            </w:pPr>
            <w:r>
              <w:rPr>
                <w:sz w:val="20"/>
              </w:rPr>
              <w:t>36.0</w:t>
            </w:r>
            <w:r w:rsidRPr="002C2889">
              <w:rPr>
                <w:sz w:val="20"/>
              </w:rPr>
              <w:t>%</w:t>
            </w:r>
          </w:p>
        </w:tc>
      </w:tr>
      <w:tr w:rsidR="00D81B57" w:rsidRPr="00501CF6" w14:paraId="23F05C2F" w14:textId="77777777" w:rsidTr="00D81B57">
        <w:trPr>
          <w:trHeight w:val="300"/>
        </w:trPr>
        <w:tc>
          <w:tcPr>
            <w:tcW w:w="2628" w:type="dxa"/>
            <w:noWrap/>
            <w:hideMark/>
          </w:tcPr>
          <w:p w14:paraId="7C2B5A24" w14:textId="77777777" w:rsidR="00D81B57" w:rsidRPr="002C2889" w:rsidRDefault="00D81B57" w:rsidP="00D81B57">
            <w:pPr>
              <w:rPr>
                <w:sz w:val="20"/>
              </w:rPr>
            </w:pPr>
          </w:p>
        </w:tc>
        <w:tc>
          <w:tcPr>
            <w:tcW w:w="2970" w:type="dxa"/>
            <w:noWrap/>
            <w:hideMark/>
          </w:tcPr>
          <w:p w14:paraId="262E1E7A" w14:textId="77777777" w:rsidR="00D81B57" w:rsidRPr="002C2889" w:rsidRDefault="00D81B57" w:rsidP="00D81B57">
            <w:pPr>
              <w:rPr>
                <w:sz w:val="20"/>
              </w:rPr>
            </w:pPr>
            <w:r w:rsidRPr="002C2889">
              <w:rPr>
                <w:sz w:val="20"/>
              </w:rPr>
              <w:t>Prenatal Care, %</w:t>
            </w:r>
          </w:p>
        </w:tc>
        <w:tc>
          <w:tcPr>
            <w:tcW w:w="1080" w:type="dxa"/>
            <w:noWrap/>
            <w:hideMark/>
          </w:tcPr>
          <w:p w14:paraId="5253EA7D" w14:textId="77777777" w:rsidR="00D81B57" w:rsidRPr="002C2889" w:rsidRDefault="00D81B57" w:rsidP="00D81B57">
            <w:pPr>
              <w:jc w:val="center"/>
              <w:rPr>
                <w:sz w:val="20"/>
              </w:rPr>
            </w:pPr>
            <w:r w:rsidRPr="002C2889">
              <w:rPr>
                <w:sz w:val="20"/>
              </w:rPr>
              <w:t>72</w:t>
            </w:r>
          </w:p>
        </w:tc>
        <w:tc>
          <w:tcPr>
            <w:tcW w:w="1530" w:type="dxa"/>
            <w:noWrap/>
          </w:tcPr>
          <w:p w14:paraId="785791C7" w14:textId="6AC71640" w:rsidR="00D81B57" w:rsidRPr="002C2889" w:rsidRDefault="00D81B57" w:rsidP="00D81B57">
            <w:pPr>
              <w:jc w:val="center"/>
              <w:rPr>
                <w:sz w:val="20"/>
              </w:rPr>
            </w:pPr>
            <w:r>
              <w:rPr>
                <w:sz w:val="20"/>
              </w:rPr>
              <w:t>12.3%</w:t>
            </w:r>
          </w:p>
        </w:tc>
        <w:tc>
          <w:tcPr>
            <w:tcW w:w="1368" w:type="dxa"/>
            <w:noWrap/>
            <w:hideMark/>
          </w:tcPr>
          <w:p w14:paraId="52806D5D" w14:textId="619BA74A" w:rsidR="00D81B57" w:rsidRPr="002C2889" w:rsidRDefault="00D81B57" w:rsidP="00D81B57">
            <w:pPr>
              <w:jc w:val="center"/>
              <w:rPr>
                <w:sz w:val="20"/>
              </w:rPr>
            </w:pPr>
            <w:r>
              <w:rPr>
                <w:sz w:val="20"/>
              </w:rPr>
              <w:t>18.2</w:t>
            </w:r>
            <w:r w:rsidRPr="002C2889">
              <w:rPr>
                <w:sz w:val="20"/>
              </w:rPr>
              <w:t>%</w:t>
            </w:r>
          </w:p>
        </w:tc>
      </w:tr>
      <w:tr w:rsidR="00D81B57" w:rsidRPr="00501CF6" w14:paraId="62961C96" w14:textId="77777777" w:rsidTr="00D81B57">
        <w:trPr>
          <w:trHeight w:val="300"/>
        </w:trPr>
        <w:tc>
          <w:tcPr>
            <w:tcW w:w="2628" w:type="dxa"/>
            <w:noWrap/>
            <w:hideMark/>
          </w:tcPr>
          <w:p w14:paraId="570D30EB" w14:textId="77777777" w:rsidR="00D81B57" w:rsidRPr="002C2889" w:rsidRDefault="00D81B57" w:rsidP="00D81B57">
            <w:pPr>
              <w:rPr>
                <w:sz w:val="20"/>
              </w:rPr>
            </w:pPr>
            <w:r w:rsidRPr="002C2889">
              <w:rPr>
                <w:sz w:val="20"/>
              </w:rPr>
              <w:t>Human Resources for Health</w:t>
            </w:r>
          </w:p>
        </w:tc>
        <w:tc>
          <w:tcPr>
            <w:tcW w:w="2970" w:type="dxa"/>
            <w:noWrap/>
            <w:hideMark/>
          </w:tcPr>
          <w:p w14:paraId="301A89E7" w14:textId="77777777" w:rsidR="00D81B57" w:rsidRPr="002C2889" w:rsidRDefault="00D81B57" w:rsidP="00D81B57">
            <w:pPr>
              <w:rPr>
                <w:sz w:val="20"/>
              </w:rPr>
            </w:pPr>
            <w:r w:rsidRPr="002C2889">
              <w:rPr>
                <w:sz w:val="20"/>
              </w:rPr>
              <w:t>Doctors per 1,000</w:t>
            </w:r>
          </w:p>
        </w:tc>
        <w:tc>
          <w:tcPr>
            <w:tcW w:w="1080" w:type="dxa"/>
            <w:noWrap/>
            <w:hideMark/>
          </w:tcPr>
          <w:p w14:paraId="0529374B" w14:textId="77777777" w:rsidR="00D81B57" w:rsidRPr="002C2889" w:rsidRDefault="00D81B57" w:rsidP="00D81B57">
            <w:pPr>
              <w:jc w:val="center"/>
              <w:rPr>
                <w:sz w:val="20"/>
              </w:rPr>
            </w:pPr>
            <w:r w:rsidRPr="002C2889">
              <w:rPr>
                <w:sz w:val="20"/>
              </w:rPr>
              <w:t>72</w:t>
            </w:r>
          </w:p>
        </w:tc>
        <w:tc>
          <w:tcPr>
            <w:tcW w:w="1530" w:type="dxa"/>
            <w:noWrap/>
          </w:tcPr>
          <w:p w14:paraId="193AD998" w14:textId="72AD87F6" w:rsidR="00D81B57" w:rsidRPr="002C2889" w:rsidRDefault="00D81B57" w:rsidP="00D81B57">
            <w:pPr>
              <w:jc w:val="center"/>
              <w:rPr>
                <w:sz w:val="20"/>
              </w:rPr>
            </w:pPr>
            <w:r>
              <w:rPr>
                <w:sz w:val="20"/>
              </w:rPr>
              <w:t>8.6%</w:t>
            </w:r>
          </w:p>
        </w:tc>
        <w:tc>
          <w:tcPr>
            <w:tcW w:w="1368" w:type="dxa"/>
            <w:noWrap/>
            <w:hideMark/>
          </w:tcPr>
          <w:p w14:paraId="01BA492E" w14:textId="29407FC2" w:rsidR="00D81B57" w:rsidRPr="002C2889" w:rsidRDefault="00D81B57" w:rsidP="00D81B57">
            <w:pPr>
              <w:jc w:val="center"/>
              <w:rPr>
                <w:sz w:val="20"/>
              </w:rPr>
            </w:pPr>
            <w:r>
              <w:rPr>
                <w:sz w:val="20"/>
              </w:rPr>
              <w:t>3.2</w:t>
            </w:r>
            <w:r w:rsidRPr="002C2889">
              <w:rPr>
                <w:sz w:val="20"/>
              </w:rPr>
              <w:t>%</w:t>
            </w:r>
          </w:p>
        </w:tc>
      </w:tr>
      <w:tr w:rsidR="00D81B57" w:rsidRPr="00501CF6" w14:paraId="485F26FB" w14:textId="77777777" w:rsidTr="00D81B57">
        <w:trPr>
          <w:trHeight w:val="300"/>
        </w:trPr>
        <w:tc>
          <w:tcPr>
            <w:tcW w:w="2628" w:type="dxa"/>
            <w:noWrap/>
            <w:hideMark/>
          </w:tcPr>
          <w:p w14:paraId="33D38D26" w14:textId="77777777" w:rsidR="00D81B57" w:rsidRPr="002C2889" w:rsidRDefault="00D81B57" w:rsidP="00D81B57">
            <w:pPr>
              <w:rPr>
                <w:sz w:val="20"/>
              </w:rPr>
            </w:pPr>
            <w:r w:rsidRPr="002C2889">
              <w:rPr>
                <w:sz w:val="20"/>
              </w:rPr>
              <w:t>Fertility</w:t>
            </w:r>
          </w:p>
        </w:tc>
        <w:tc>
          <w:tcPr>
            <w:tcW w:w="2970" w:type="dxa"/>
            <w:noWrap/>
            <w:hideMark/>
          </w:tcPr>
          <w:p w14:paraId="55DAAF70" w14:textId="77777777" w:rsidR="00D81B57" w:rsidRPr="002C2889" w:rsidRDefault="00D81B57" w:rsidP="00D81B57">
            <w:pPr>
              <w:rPr>
                <w:sz w:val="20"/>
              </w:rPr>
            </w:pPr>
            <w:r w:rsidRPr="002C2889">
              <w:rPr>
                <w:sz w:val="20"/>
              </w:rPr>
              <w:t>Log TFR</w:t>
            </w:r>
          </w:p>
        </w:tc>
        <w:tc>
          <w:tcPr>
            <w:tcW w:w="1080" w:type="dxa"/>
            <w:noWrap/>
            <w:hideMark/>
          </w:tcPr>
          <w:p w14:paraId="41894436" w14:textId="77777777" w:rsidR="00D81B57" w:rsidRPr="002C2889" w:rsidRDefault="00D81B57" w:rsidP="00D81B57">
            <w:pPr>
              <w:jc w:val="center"/>
              <w:rPr>
                <w:sz w:val="20"/>
              </w:rPr>
            </w:pPr>
            <w:r w:rsidRPr="002C2889">
              <w:rPr>
                <w:sz w:val="20"/>
              </w:rPr>
              <w:t>108</w:t>
            </w:r>
          </w:p>
        </w:tc>
        <w:tc>
          <w:tcPr>
            <w:tcW w:w="1530" w:type="dxa"/>
            <w:noWrap/>
          </w:tcPr>
          <w:p w14:paraId="4A0AB45E" w14:textId="0645EC2B" w:rsidR="00D81B57" w:rsidRPr="002C2889" w:rsidRDefault="00D81B57" w:rsidP="00D81B57">
            <w:pPr>
              <w:jc w:val="center"/>
              <w:rPr>
                <w:sz w:val="20"/>
              </w:rPr>
            </w:pPr>
            <w:r>
              <w:rPr>
                <w:sz w:val="20"/>
              </w:rPr>
              <w:t>45.3%</w:t>
            </w:r>
          </w:p>
        </w:tc>
        <w:tc>
          <w:tcPr>
            <w:tcW w:w="1368" w:type="dxa"/>
            <w:noWrap/>
            <w:hideMark/>
          </w:tcPr>
          <w:p w14:paraId="17B65171" w14:textId="70AC172B" w:rsidR="00D81B57" w:rsidRPr="002C2889" w:rsidRDefault="00D81B57" w:rsidP="00D81B57">
            <w:pPr>
              <w:jc w:val="center"/>
              <w:rPr>
                <w:sz w:val="20"/>
              </w:rPr>
            </w:pPr>
            <w:r>
              <w:rPr>
                <w:sz w:val="20"/>
              </w:rPr>
              <w:t>41.8</w:t>
            </w:r>
            <w:r w:rsidRPr="002C2889">
              <w:rPr>
                <w:sz w:val="20"/>
              </w:rPr>
              <w:t>%</w:t>
            </w:r>
          </w:p>
        </w:tc>
      </w:tr>
      <w:tr w:rsidR="00D81B57" w:rsidRPr="00501CF6" w14:paraId="1B3B2CDA" w14:textId="77777777" w:rsidTr="00D81B57">
        <w:trPr>
          <w:trHeight w:val="300"/>
        </w:trPr>
        <w:tc>
          <w:tcPr>
            <w:tcW w:w="2628" w:type="dxa"/>
            <w:noWrap/>
            <w:hideMark/>
          </w:tcPr>
          <w:p w14:paraId="0567373D" w14:textId="77777777" w:rsidR="00D81B57" w:rsidRPr="002C2889" w:rsidRDefault="00D81B57" w:rsidP="00D81B57">
            <w:pPr>
              <w:rPr>
                <w:sz w:val="20"/>
              </w:rPr>
            </w:pPr>
          </w:p>
        </w:tc>
        <w:tc>
          <w:tcPr>
            <w:tcW w:w="2970" w:type="dxa"/>
            <w:noWrap/>
            <w:hideMark/>
          </w:tcPr>
          <w:p w14:paraId="63BEE0A5" w14:textId="77777777" w:rsidR="00D81B57" w:rsidRPr="002C2889" w:rsidRDefault="00D81B57" w:rsidP="00D81B57">
            <w:pPr>
              <w:rPr>
                <w:sz w:val="20"/>
              </w:rPr>
            </w:pPr>
            <w:r w:rsidRPr="002C2889">
              <w:rPr>
                <w:sz w:val="20"/>
              </w:rPr>
              <w:t>Log adolescent fertility rate</w:t>
            </w:r>
          </w:p>
        </w:tc>
        <w:tc>
          <w:tcPr>
            <w:tcW w:w="1080" w:type="dxa"/>
            <w:noWrap/>
            <w:hideMark/>
          </w:tcPr>
          <w:p w14:paraId="2CBD10B4" w14:textId="77777777" w:rsidR="00D81B57" w:rsidRPr="002C2889" w:rsidRDefault="00D81B57" w:rsidP="00D81B57">
            <w:pPr>
              <w:jc w:val="center"/>
              <w:rPr>
                <w:sz w:val="20"/>
              </w:rPr>
            </w:pPr>
            <w:r w:rsidRPr="002C2889">
              <w:rPr>
                <w:sz w:val="20"/>
              </w:rPr>
              <w:t>108</w:t>
            </w:r>
          </w:p>
        </w:tc>
        <w:tc>
          <w:tcPr>
            <w:tcW w:w="1530" w:type="dxa"/>
            <w:noWrap/>
          </w:tcPr>
          <w:p w14:paraId="6C369F68" w14:textId="4381F494" w:rsidR="00D81B57" w:rsidRPr="002C2889" w:rsidRDefault="00D81B57" w:rsidP="00D81B57">
            <w:pPr>
              <w:jc w:val="center"/>
              <w:rPr>
                <w:sz w:val="20"/>
              </w:rPr>
            </w:pPr>
            <w:r>
              <w:rPr>
                <w:sz w:val="20"/>
              </w:rPr>
              <w:t>16.8%</w:t>
            </w:r>
          </w:p>
        </w:tc>
        <w:tc>
          <w:tcPr>
            <w:tcW w:w="1368" w:type="dxa"/>
            <w:noWrap/>
            <w:hideMark/>
          </w:tcPr>
          <w:p w14:paraId="068E46B4" w14:textId="019FC674" w:rsidR="00D81B57" w:rsidRPr="002C2889" w:rsidRDefault="00D81B57" w:rsidP="00D81B57">
            <w:pPr>
              <w:jc w:val="center"/>
              <w:rPr>
                <w:sz w:val="20"/>
              </w:rPr>
            </w:pPr>
            <w:r>
              <w:rPr>
                <w:sz w:val="20"/>
              </w:rPr>
              <w:t>18.2</w:t>
            </w:r>
            <w:r w:rsidRPr="002C2889">
              <w:rPr>
                <w:sz w:val="20"/>
              </w:rPr>
              <w:t>%</w:t>
            </w:r>
          </w:p>
        </w:tc>
      </w:tr>
      <w:tr w:rsidR="00D81B57" w:rsidRPr="00501CF6" w14:paraId="1B372D26" w14:textId="77777777" w:rsidTr="00D81B57">
        <w:trPr>
          <w:trHeight w:val="300"/>
        </w:trPr>
        <w:tc>
          <w:tcPr>
            <w:tcW w:w="2628" w:type="dxa"/>
            <w:noWrap/>
            <w:hideMark/>
          </w:tcPr>
          <w:p w14:paraId="48346948" w14:textId="77777777" w:rsidR="00D81B57" w:rsidRPr="002C2889" w:rsidRDefault="00D81B57" w:rsidP="00D81B57">
            <w:pPr>
              <w:rPr>
                <w:sz w:val="20"/>
              </w:rPr>
            </w:pPr>
            <w:r w:rsidRPr="002C2889">
              <w:rPr>
                <w:sz w:val="20"/>
              </w:rPr>
              <w:t>Education</w:t>
            </w:r>
          </w:p>
        </w:tc>
        <w:tc>
          <w:tcPr>
            <w:tcW w:w="2970" w:type="dxa"/>
            <w:noWrap/>
            <w:hideMark/>
          </w:tcPr>
          <w:p w14:paraId="1DB7D0F1" w14:textId="77777777" w:rsidR="00D81B57" w:rsidRPr="002C2889" w:rsidRDefault="00D81B57" w:rsidP="00D81B57">
            <w:pPr>
              <w:rPr>
                <w:sz w:val="20"/>
              </w:rPr>
            </w:pPr>
            <w:r w:rsidRPr="002C2889">
              <w:rPr>
                <w:sz w:val="20"/>
              </w:rPr>
              <w:t>Lag 10 girls primary enrollment</w:t>
            </w:r>
          </w:p>
        </w:tc>
        <w:tc>
          <w:tcPr>
            <w:tcW w:w="1080" w:type="dxa"/>
            <w:noWrap/>
            <w:hideMark/>
          </w:tcPr>
          <w:p w14:paraId="2FD7629A" w14:textId="77777777" w:rsidR="00D81B57" w:rsidRPr="002C2889" w:rsidRDefault="00D81B57" w:rsidP="00D81B57">
            <w:pPr>
              <w:jc w:val="center"/>
              <w:rPr>
                <w:sz w:val="20"/>
              </w:rPr>
            </w:pPr>
            <w:r w:rsidRPr="002C2889">
              <w:rPr>
                <w:sz w:val="20"/>
              </w:rPr>
              <w:t>172</w:t>
            </w:r>
          </w:p>
        </w:tc>
        <w:tc>
          <w:tcPr>
            <w:tcW w:w="1530" w:type="dxa"/>
            <w:noWrap/>
          </w:tcPr>
          <w:p w14:paraId="74EE787F" w14:textId="6B90AC20" w:rsidR="00D81B57" w:rsidRPr="002C2889" w:rsidRDefault="00D81B57" w:rsidP="00D81B57">
            <w:pPr>
              <w:jc w:val="center"/>
              <w:rPr>
                <w:sz w:val="20"/>
              </w:rPr>
            </w:pPr>
            <w:r>
              <w:rPr>
                <w:sz w:val="20"/>
              </w:rPr>
              <w:t>-1.8%</w:t>
            </w:r>
          </w:p>
        </w:tc>
        <w:tc>
          <w:tcPr>
            <w:tcW w:w="1368" w:type="dxa"/>
            <w:noWrap/>
            <w:hideMark/>
          </w:tcPr>
          <w:p w14:paraId="7B919612" w14:textId="6320E6F0" w:rsidR="00D81B57" w:rsidRPr="002C2889" w:rsidRDefault="00D81B57" w:rsidP="00D81B57">
            <w:pPr>
              <w:jc w:val="center"/>
              <w:rPr>
                <w:sz w:val="20"/>
              </w:rPr>
            </w:pPr>
            <w:r>
              <w:rPr>
                <w:sz w:val="20"/>
              </w:rPr>
              <w:t>-3.0</w:t>
            </w:r>
            <w:r w:rsidRPr="002C2889">
              <w:rPr>
                <w:sz w:val="20"/>
              </w:rPr>
              <w:t>%</w:t>
            </w:r>
          </w:p>
        </w:tc>
      </w:tr>
      <w:tr w:rsidR="00D81B57" w:rsidRPr="00501CF6" w14:paraId="1B09664C" w14:textId="77777777" w:rsidTr="00D81B57">
        <w:trPr>
          <w:trHeight w:val="300"/>
        </w:trPr>
        <w:tc>
          <w:tcPr>
            <w:tcW w:w="2628" w:type="dxa"/>
            <w:noWrap/>
            <w:hideMark/>
          </w:tcPr>
          <w:p w14:paraId="2ECBC0FB" w14:textId="77777777" w:rsidR="00D81B57" w:rsidRPr="002C2889" w:rsidRDefault="00D81B57" w:rsidP="00D81B57">
            <w:pPr>
              <w:rPr>
                <w:sz w:val="20"/>
              </w:rPr>
            </w:pPr>
          </w:p>
        </w:tc>
        <w:tc>
          <w:tcPr>
            <w:tcW w:w="2970" w:type="dxa"/>
            <w:noWrap/>
            <w:hideMark/>
          </w:tcPr>
          <w:p w14:paraId="59B71D2C" w14:textId="77777777" w:rsidR="00D81B57" w:rsidRPr="002C2889" w:rsidRDefault="00D81B57" w:rsidP="00D81B57">
            <w:pPr>
              <w:rPr>
                <w:sz w:val="20"/>
              </w:rPr>
            </w:pPr>
            <w:r w:rsidRPr="002C2889">
              <w:rPr>
                <w:sz w:val="20"/>
              </w:rPr>
              <w:t>Lag 5 girls secondary enrollment</w:t>
            </w:r>
          </w:p>
        </w:tc>
        <w:tc>
          <w:tcPr>
            <w:tcW w:w="1080" w:type="dxa"/>
            <w:noWrap/>
            <w:hideMark/>
          </w:tcPr>
          <w:p w14:paraId="60E6FF78" w14:textId="77777777" w:rsidR="00D81B57" w:rsidRPr="002C2889" w:rsidRDefault="00D81B57" w:rsidP="00D81B57">
            <w:pPr>
              <w:jc w:val="center"/>
              <w:rPr>
                <w:sz w:val="20"/>
              </w:rPr>
            </w:pPr>
            <w:r w:rsidRPr="002C2889">
              <w:rPr>
                <w:sz w:val="20"/>
              </w:rPr>
              <w:t>72</w:t>
            </w:r>
          </w:p>
        </w:tc>
        <w:tc>
          <w:tcPr>
            <w:tcW w:w="1530" w:type="dxa"/>
            <w:noWrap/>
          </w:tcPr>
          <w:p w14:paraId="18E37A4F" w14:textId="3C3DA5D7" w:rsidR="00D81B57" w:rsidRPr="002C2889" w:rsidRDefault="00467E8A" w:rsidP="00D81B57">
            <w:pPr>
              <w:jc w:val="center"/>
              <w:rPr>
                <w:sz w:val="20"/>
              </w:rPr>
            </w:pPr>
            <w:r>
              <w:rPr>
                <w:sz w:val="20"/>
              </w:rPr>
              <w:t>19.9%</w:t>
            </w:r>
          </w:p>
        </w:tc>
        <w:tc>
          <w:tcPr>
            <w:tcW w:w="1368" w:type="dxa"/>
            <w:noWrap/>
            <w:hideMark/>
          </w:tcPr>
          <w:p w14:paraId="69D7E8C3" w14:textId="7794319F" w:rsidR="00D81B57" w:rsidRPr="002C2889" w:rsidRDefault="00D81B57" w:rsidP="00D81B57">
            <w:pPr>
              <w:jc w:val="center"/>
              <w:rPr>
                <w:sz w:val="20"/>
              </w:rPr>
            </w:pPr>
            <w:r>
              <w:rPr>
                <w:sz w:val="20"/>
              </w:rPr>
              <w:t>25.8</w:t>
            </w:r>
            <w:r w:rsidRPr="002C2889">
              <w:rPr>
                <w:sz w:val="20"/>
              </w:rPr>
              <w:t>%</w:t>
            </w:r>
          </w:p>
        </w:tc>
      </w:tr>
      <w:tr w:rsidR="00D81B57" w:rsidRPr="00501CF6" w14:paraId="33609B41" w14:textId="77777777" w:rsidTr="00D81B57">
        <w:trPr>
          <w:trHeight w:val="300"/>
        </w:trPr>
        <w:tc>
          <w:tcPr>
            <w:tcW w:w="2628" w:type="dxa"/>
            <w:noWrap/>
            <w:hideMark/>
          </w:tcPr>
          <w:p w14:paraId="52A622D6" w14:textId="77777777" w:rsidR="00D81B57" w:rsidRPr="002C2889" w:rsidRDefault="00D81B57" w:rsidP="00D81B57">
            <w:pPr>
              <w:rPr>
                <w:sz w:val="20"/>
              </w:rPr>
            </w:pPr>
          </w:p>
        </w:tc>
        <w:tc>
          <w:tcPr>
            <w:tcW w:w="2970" w:type="dxa"/>
            <w:noWrap/>
            <w:hideMark/>
          </w:tcPr>
          <w:p w14:paraId="4A93528B" w14:textId="77777777" w:rsidR="00D81B57" w:rsidRPr="002C2889" w:rsidRDefault="00D81B57" w:rsidP="00D81B57">
            <w:pPr>
              <w:rPr>
                <w:sz w:val="20"/>
              </w:rPr>
            </w:pPr>
            <w:r w:rsidRPr="002C2889">
              <w:rPr>
                <w:sz w:val="20"/>
              </w:rPr>
              <w:t>Lag 5 gross secondary enrollment</w:t>
            </w:r>
          </w:p>
        </w:tc>
        <w:tc>
          <w:tcPr>
            <w:tcW w:w="1080" w:type="dxa"/>
            <w:noWrap/>
            <w:hideMark/>
          </w:tcPr>
          <w:p w14:paraId="10D2806E" w14:textId="77777777" w:rsidR="00D81B57" w:rsidRPr="002C2889" w:rsidRDefault="00D81B57" w:rsidP="00D81B57">
            <w:pPr>
              <w:jc w:val="center"/>
              <w:rPr>
                <w:sz w:val="20"/>
              </w:rPr>
            </w:pPr>
            <w:r w:rsidRPr="002C2889">
              <w:rPr>
                <w:sz w:val="20"/>
              </w:rPr>
              <w:t>72</w:t>
            </w:r>
          </w:p>
        </w:tc>
        <w:tc>
          <w:tcPr>
            <w:tcW w:w="1530" w:type="dxa"/>
            <w:noWrap/>
          </w:tcPr>
          <w:p w14:paraId="7695BEF2" w14:textId="6153BEC1" w:rsidR="00D81B57" w:rsidRPr="002C2889" w:rsidRDefault="00467E8A" w:rsidP="00D81B57">
            <w:pPr>
              <w:jc w:val="center"/>
              <w:rPr>
                <w:sz w:val="20"/>
              </w:rPr>
            </w:pPr>
            <w:r>
              <w:rPr>
                <w:sz w:val="20"/>
              </w:rPr>
              <w:t>21.1%</w:t>
            </w:r>
          </w:p>
        </w:tc>
        <w:tc>
          <w:tcPr>
            <w:tcW w:w="1368" w:type="dxa"/>
            <w:noWrap/>
            <w:hideMark/>
          </w:tcPr>
          <w:p w14:paraId="69CB3296" w14:textId="464CE7D1" w:rsidR="00D81B57" w:rsidRPr="002C2889" w:rsidRDefault="00D81B57" w:rsidP="00D81B57">
            <w:pPr>
              <w:jc w:val="center"/>
              <w:rPr>
                <w:sz w:val="20"/>
              </w:rPr>
            </w:pPr>
            <w:r>
              <w:rPr>
                <w:sz w:val="20"/>
              </w:rPr>
              <w:t>25.8</w:t>
            </w:r>
            <w:r w:rsidRPr="002C2889">
              <w:rPr>
                <w:sz w:val="20"/>
              </w:rPr>
              <w:t>%</w:t>
            </w:r>
          </w:p>
        </w:tc>
      </w:tr>
      <w:tr w:rsidR="00D81B57" w:rsidRPr="00501CF6" w14:paraId="0A572A2C" w14:textId="77777777" w:rsidTr="00D81B57">
        <w:trPr>
          <w:trHeight w:val="300"/>
        </w:trPr>
        <w:tc>
          <w:tcPr>
            <w:tcW w:w="2628" w:type="dxa"/>
            <w:noWrap/>
            <w:hideMark/>
          </w:tcPr>
          <w:p w14:paraId="1C30E2A2" w14:textId="77777777" w:rsidR="00D81B57" w:rsidRPr="002C2889" w:rsidRDefault="00D81B57" w:rsidP="00D81B57">
            <w:pPr>
              <w:rPr>
                <w:sz w:val="20"/>
              </w:rPr>
            </w:pPr>
            <w:r w:rsidRPr="002C2889">
              <w:rPr>
                <w:sz w:val="20"/>
              </w:rPr>
              <w:t>Infrastructure</w:t>
            </w:r>
          </w:p>
        </w:tc>
        <w:tc>
          <w:tcPr>
            <w:tcW w:w="2970" w:type="dxa"/>
            <w:noWrap/>
            <w:hideMark/>
          </w:tcPr>
          <w:p w14:paraId="1A732869" w14:textId="77777777" w:rsidR="00D81B57" w:rsidRPr="002C2889" w:rsidRDefault="00D81B57" w:rsidP="00D81B57">
            <w:pPr>
              <w:rPr>
                <w:sz w:val="20"/>
              </w:rPr>
            </w:pPr>
            <w:r w:rsidRPr="002C2889">
              <w:rPr>
                <w:sz w:val="20"/>
              </w:rPr>
              <w:t>Rural Electricity, % Access</w:t>
            </w:r>
          </w:p>
        </w:tc>
        <w:tc>
          <w:tcPr>
            <w:tcW w:w="1080" w:type="dxa"/>
            <w:noWrap/>
            <w:hideMark/>
          </w:tcPr>
          <w:p w14:paraId="4EE20987" w14:textId="77777777" w:rsidR="00D81B57" w:rsidRPr="002C2889" w:rsidRDefault="00D81B57" w:rsidP="00D81B57">
            <w:pPr>
              <w:jc w:val="center"/>
              <w:rPr>
                <w:sz w:val="20"/>
              </w:rPr>
            </w:pPr>
            <w:r w:rsidRPr="002C2889">
              <w:rPr>
                <w:sz w:val="20"/>
              </w:rPr>
              <w:t>72</w:t>
            </w:r>
          </w:p>
        </w:tc>
        <w:tc>
          <w:tcPr>
            <w:tcW w:w="1530" w:type="dxa"/>
            <w:noWrap/>
          </w:tcPr>
          <w:p w14:paraId="50946186" w14:textId="64C9CBBA" w:rsidR="00D81B57" w:rsidRPr="002C2889" w:rsidRDefault="00467E8A" w:rsidP="00D81B57">
            <w:pPr>
              <w:jc w:val="center"/>
              <w:rPr>
                <w:sz w:val="20"/>
              </w:rPr>
            </w:pPr>
            <w:r>
              <w:rPr>
                <w:sz w:val="20"/>
              </w:rPr>
              <w:t>4.3%</w:t>
            </w:r>
          </w:p>
        </w:tc>
        <w:tc>
          <w:tcPr>
            <w:tcW w:w="1368" w:type="dxa"/>
            <w:noWrap/>
            <w:hideMark/>
          </w:tcPr>
          <w:p w14:paraId="676E3795" w14:textId="59FD14F4" w:rsidR="00D81B57" w:rsidRPr="002C2889" w:rsidRDefault="00D81B57" w:rsidP="00D81B57">
            <w:pPr>
              <w:jc w:val="center"/>
              <w:rPr>
                <w:sz w:val="20"/>
              </w:rPr>
            </w:pPr>
            <w:r>
              <w:rPr>
                <w:sz w:val="20"/>
              </w:rPr>
              <w:t>13.5</w:t>
            </w:r>
            <w:r w:rsidRPr="002C2889">
              <w:rPr>
                <w:sz w:val="20"/>
              </w:rPr>
              <w:t>%</w:t>
            </w:r>
          </w:p>
        </w:tc>
      </w:tr>
      <w:tr w:rsidR="00D81B57" w:rsidRPr="00501CF6" w14:paraId="19C38AF0" w14:textId="77777777" w:rsidTr="00D81B57">
        <w:trPr>
          <w:trHeight w:val="300"/>
        </w:trPr>
        <w:tc>
          <w:tcPr>
            <w:tcW w:w="2628" w:type="dxa"/>
            <w:noWrap/>
            <w:hideMark/>
          </w:tcPr>
          <w:p w14:paraId="4CF981B2" w14:textId="77777777" w:rsidR="00D81B57" w:rsidRPr="002C2889" w:rsidRDefault="00D81B57" w:rsidP="00D81B57">
            <w:pPr>
              <w:rPr>
                <w:sz w:val="20"/>
              </w:rPr>
            </w:pPr>
          </w:p>
        </w:tc>
        <w:tc>
          <w:tcPr>
            <w:tcW w:w="2970" w:type="dxa"/>
            <w:noWrap/>
            <w:hideMark/>
          </w:tcPr>
          <w:p w14:paraId="1AF16DD9" w14:textId="77777777" w:rsidR="00D81B57" w:rsidRPr="002C2889" w:rsidRDefault="00D81B57" w:rsidP="00D81B57">
            <w:pPr>
              <w:rPr>
                <w:sz w:val="20"/>
              </w:rPr>
            </w:pPr>
            <w:r w:rsidRPr="002C2889">
              <w:rPr>
                <w:sz w:val="20"/>
              </w:rPr>
              <w:t>Log road density, % sq. km</w:t>
            </w:r>
          </w:p>
        </w:tc>
        <w:tc>
          <w:tcPr>
            <w:tcW w:w="1080" w:type="dxa"/>
            <w:noWrap/>
            <w:hideMark/>
          </w:tcPr>
          <w:p w14:paraId="3B0FCBB0" w14:textId="77777777" w:rsidR="00D81B57" w:rsidRPr="002C2889" w:rsidRDefault="00D81B57" w:rsidP="00D81B57">
            <w:pPr>
              <w:jc w:val="center"/>
              <w:rPr>
                <w:sz w:val="20"/>
              </w:rPr>
            </w:pPr>
            <w:r w:rsidRPr="002C2889">
              <w:rPr>
                <w:sz w:val="20"/>
              </w:rPr>
              <w:t>72</w:t>
            </w:r>
          </w:p>
        </w:tc>
        <w:tc>
          <w:tcPr>
            <w:tcW w:w="1530" w:type="dxa"/>
            <w:noWrap/>
          </w:tcPr>
          <w:p w14:paraId="6805FF12" w14:textId="2C9981B4" w:rsidR="00D81B57" w:rsidRPr="002C2889" w:rsidRDefault="00467E8A" w:rsidP="00D81B57">
            <w:pPr>
              <w:jc w:val="center"/>
              <w:rPr>
                <w:sz w:val="20"/>
              </w:rPr>
            </w:pPr>
            <w:r>
              <w:rPr>
                <w:sz w:val="20"/>
              </w:rPr>
              <w:t>-13.0%</w:t>
            </w:r>
          </w:p>
        </w:tc>
        <w:tc>
          <w:tcPr>
            <w:tcW w:w="1368" w:type="dxa"/>
            <w:noWrap/>
            <w:hideMark/>
          </w:tcPr>
          <w:p w14:paraId="4917311A" w14:textId="3D7E13E6" w:rsidR="00D81B57" w:rsidRPr="002C2889" w:rsidRDefault="00D81B57" w:rsidP="00D81B57">
            <w:pPr>
              <w:jc w:val="center"/>
              <w:rPr>
                <w:sz w:val="20"/>
              </w:rPr>
            </w:pPr>
            <w:r>
              <w:rPr>
                <w:sz w:val="20"/>
              </w:rPr>
              <w:t>-3.6</w:t>
            </w:r>
            <w:r w:rsidRPr="002C2889">
              <w:rPr>
                <w:sz w:val="20"/>
              </w:rPr>
              <w:t>%</w:t>
            </w:r>
          </w:p>
        </w:tc>
      </w:tr>
      <w:tr w:rsidR="00D81B57" w:rsidRPr="00501CF6" w14:paraId="7BB09889" w14:textId="77777777" w:rsidTr="00D81B57">
        <w:trPr>
          <w:trHeight w:val="300"/>
        </w:trPr>
        <w:tc>
          <w:tcPr>
            <w:tcW w:w="2628" w:type="dxa"/>
            <w:noWrap/>
            <w:hideMark/>
          </w:tcPr>
          <w:p w14:paraId="7DB5E084" w14:textId="77777777" w:rsidR="00D81B57" w:rsidRPr="002C2889" w:rsidRDefault="00D81B57" w:rsidP="00D81B57">
            <w:pPr>
              <w:rPr>
                <w:sz w:val="20"/>
              </w:rPr>
            </w:pPr>
            <w:r w:rsidRPr="002C2889">
              <w:rPr>
                <w:sz w:val="20"/>
              </w:rPr>
              <w:t>Urbanization</w:t>
            </w:r>
          </w:p>
        </w:tc>
        <w:tc>
          <w:tcPr>
            <w:tcW w:w="2970" w:type="dxa"/>
            <w:noWrap/>
            <w:hideMark/>
          </w:tcPr>
          <w:p w14:paraId="45732529" w14:textId="77777777" w:rsidR="00D81B57" w:rsidRPr="002C2889" w:rsidRDefault="00D81B57" w:rsidP="00D81B57">
            <w:pPr>
              <w:rPr>
                <w:sz w:val="20"/>
              </w:rPr>
            </w:pPr>
            <w:r w:rsidRPr="002C2889">
              <w:rPr>
                <w:sz w:val="20"/>
              </w:rPr>
              <w:t>% Urbanized</w:t>
            </w:r>
          </w:p>
        </w:tc>
        <w:tc>
          <w:tcPr>
            <w:tcW w:w="1080" w:type="dxa"/>
            <w:noWrap/>
            <w:hideMark/>
          </w:tcPr>
          <w:p w14:paraId="6D655D73" w14:textId="77777777" w:rsidR="00D81B57" w:rsidRPr="002C2889" w:rsidRDefault="00D81B57" w:rsidP="00D81B57">
            <w:pPr>
              <w:jc w:val="center"/>
              <w:rPr>
                <w:sz w:val="20"/>
              </w:rPr>
            </w:pPr>
            <w:r w:rsidRPr="002C2889">
              <w:rPr>
                <w:sz w:val="20"/>
              </w:rPr>
              <w:t>72</w:t>
            </w:r>
          </w:p>
        </w:tc>
        <w:tc>
          <w:tcPr>
            <w:tcW w:w="1530" w:type="dxa"/>
            <w:noWrap/>
          </w:tcPr>
          <w:p w14:paraId="64BEF086" w14:textId="181195C8" w:rsidR="00D81B57" w:rsidRPr="002C2889" w:rsidRDefault="00467E8A" w:rsidP="00D81B57">
            <w:pPr>
              <w:jc w:val="center"/>
              <w:rPr>
                <w:sz w:val="20"/>
              </w:rPr>
            </w:pPr>
            <w:r>
              <w:rPr>
                <w:sz w:val="20"/>
              </w:rPr>
              <w:t>1.2%</w:t>
            </w:r>
          </w:p>
        </w:tc>
        <w:tc>
          <w:tcPr>
            <w:tcW w:w="1368" w:type="dxa"/>
            <w:noWrap/>
            <w:hideMark/>
          </w:tcPr>
          <w:p w14:paraId="0C1E2651" w14:textId="0A08AFDC" w:rsidR="00D81B57" w:rsidRPr="002C2889" w:rsidRDefault="00D81B57" w:rsidP="00D81B57">
            <w:pPr>
              <w:jc w:val="center"/>
              <w:rPr>
                <w:sz w:val="20"/>
              </w:rPr>
            </w:pPr>
            <w:r>
              <w:rPr>
                <w:sz w:val="20"/>
              </w:rPr>
              <w:t>-6.5</w:t>
            </w:r>
            <w:r w:rsidRPr="002C2889">
              <w:rPr>
                <w:sz w:val="20"/>
              </w:rPr>
              <w:t>%</w:t>
            </w:r>
          </w:p>
        </w:tc>
      </w:tr>
      <w:tr w:rsidR="00D81B57" w:rsidRPr="00501CF6" w14:paraId="3852D0B0" w14:textId="77777777" w:rsidTr="00D81B57">
        <w:trPr>
          <w:trHeight w:val="300"/>
        </w:trPr>
        <w:tc>
          <w:tcPr>
            <w:tcW w:w="2628" w:type="dxa"/>
            <w:noWrap/>
            <w:hideMark/>
          </w:tcPr>
          <w:p w14:paraId="40D8B8EE" w14:textId="77777777" w:rsidR="00D81B57" w:rsidRPr="002C2889" w:rsidRDefault="00D81B57" w:rsidP="00D81B57">
            <w:pPr>
              <w:rPr>
                <w:sz w:val="20"/>
              </w:rPr>
            </w:pPr>
            <w:r w:rsidRPr="002C2889">
              <w:rPr>
                <w:sz w:val="20"/>
              </w:rPr>
              <w:t>Gender Equality</w:t>
            </w:r>
          </w:p>
        </w:tc>
        <w:tc>
          <w:tcPr>
            <w:tcW w:w="2970" w:type="dxa"/>
            <w:noWrap/>
            <w:hideMark/>
          </w:tcPr>
          <w:p w14:paraId="553B515C" w14:textId="77777777" w:rsidR="00D81B57" w:rsidRPr="002C2889" w:rsidRDefault="00D81B57" w:rsidP="00D81B57">
            <w:pPr>
              <w:rPr>
                <w:sz w:val="20"/>
              </w:rPr>
            </w:pPr>
            <w:r w:rsidRPr="002C2889">
              <w:rPr>
                <w:sz w:val="20"/>
              </w:rPr>
              <w:t>Legislators, % Women</w:t>
            </w:r>
          </w:p>
        </w:tc>
        <w:tc>
          <w:tcPr>
            <w:tcW w:w="1080" w:type="dxa"/>
            <w:noWrap/>
            <w:hideMark/>
          </w:tcPr>
          <w:p w14:paraId="5FAD1A86" w14:textId="77777777" w:rsidR="00D81B57" w:rsidRPr="002C2889" w:rsidRDefault="00D81B57" w:rsidP="00D81B57">
            <w:pPr>
              <w:jc w:val="center"/>
              <w:rPr>
                <w:sz w:val="20"/>
              </w:rPr>
            </w:pPr>
            <w:r w:rsidRPr="002C2889">
              <w:rPr>
                <w:sz w:val="20"/>
              </w:rPr>
              <w:t>108</w:t>
            </w:r>
          </w:p>
        </w:tc>
        <w:tc>
          <w:tcPr>
            <w:tcW w:w="1530" w:type="dxa"/>
            <w:noWrap/>
          </w:tcPr>
          <w:p w14:paraId="0EDF7A4C" w14:textId="75ABE6C1" w:rsidR="00D81B57" w:rsidRPr="002C2889" w:rsidRDefault="00467E8A" w:rsidP="00D81B57">
            <w:pPr>
              <w:jc w:val="center"/>
              <w:rPr>
                <w:sz w:val="20"/>
              </w:rPr>
            </w:pPr>
            <w:r>
              <w:rPr>
                <w:sz w:val="20"/>
              </w:rPr>
              <w:t>2.2%</w:t>
            </w:r>
          </w:p>
        </w:tc>
        <w:tc>
          <w:tcPr>
            <w:tcW w:w="1368" w:type="dxa"/>
            <w:noWrap/>
            <w:hideMark/>
          </w:tcPr>
          <w:p w14:paraId="2E637380" w14:textId="1C75C81A" w:rsidR="00D81B57" w:rsidRPr="002C2889" w:rsidRDefault="00D81B57" w:rsidP="00D81B57">
            <w:pPr>
              <w:jc w:val="center"/>
              <w:rPr>
                <w:sz w:val="20"/>
              </w:rPr>
            </w:pPr>
            <w:r>
              <w:rPr>
                <w:sz w:val="20"/>
              </w:rPr>
              <w:t>5.5</w:t>
            </w:r>
            <w:r w:rsidRPr="002C2889">
              <w:rPr>
                <w:sz w:val="20"/>
              </w:rPr>
              <w:t>%</w:t>
            </w:r>
          </w:p>
        </w:tc>
      </w:tr>
      <w:tr w:rsidR="00D81B57" w:rsidRPr="00501CF6" w14:paraId="28087A86" w14:textId="77777777" w:rsidTr="00D81B57">
        <w:trPr>
          <w:trHeight w:val="300"/>
        </w:trPr>
        <w:tc>
          <w:tcPr>
            <w:tcW w:w="2628" w:type="dxa"/>
            <w:noWrap/>
            <w:hideMark/>
          </w:tcPr>
          <w:p w14:paraId="5C1CCBF3" w14:textId="77777777" w:rsidR="00D81B57" w:rsidRPr="002C2889" w:rsidRDefault="00D81B57" w:rsidP="00D81B57">
            <w:pPr>
              <w:rPr>
                <w:sz w:val="20"/>
              </w:rPr>
            </w:pPr>
          </w:p>
        </w:tc>
        <w:tc>
          <w:tcPr>
            <w:tcW w:w="2970" w:type="dxa"/>
            <w:noWrap/>
            <w:hideMark/>
          </w:tcPr>
          <w:p w14:paraId="57C90537" w14:textId="77777777" w:rsidR="00D81B57" w:rsidRPr="002C2889" w:rsidRDefault="00D81B57" w:rsidP="00D81B57">
            <w:pPr>
              <w:rPr>
                <w:sz w:val="20"/>
              </w:rPr>
            </w:pPr>
            <w:r w:rsidRPr="002C2889">
              <w:rPr>
                <w:sz w:val="20"/>
              </w:rPr>
              <w:t xml:space="preserve">Labor Force Participation, </w:t>
            </w:r>
            <w:r>
              <w:rPr>
                <w:sz w:val="20"/>
              </w:rPr>
              <w:t>Fem.</w:t>
            </w:r>
          </w:p>
        </w:tc>
        <w:tc>
          <w:tcPr>
            <w:tcW w:w="1080" w:type="dxa"/>
            <w:noWrap/>
            <w:hideMark/>
          </w:tcPr>
          <w:p w14:paraId="55D9E3F3" w14:textId="77777777" w:rsidR="00D81B57" w:rsidRPr="002C2889" w:rsidRDefault="00D81B57" w:rsidP="00D81B57">
            <w:pPr>
              <w:jc w:val="center"/>
              <w:rPr>
                <w:sz w:val="20"/>
              </w:rPr>
            </w:pPr>
            <w:r w:rsidRPr="002C2889">
              <w:rPr>
                <w:sz w:val="20"/>
              </w:rPr>
              <w:t>108</w:t>
            </w:r>
          </w:p>
        </w:tc>
        <w:tc>
          <w:tcPr>
            <w:tcW w:w="1530" w:type="dxa"/>
            <w:noWrap/>
          </w:tcPr>
          <w:p w14:paraId="230ABA5F" w14:textId="5EC076CB" w:rsidR="00D81B57" w:rsidRPr="002C2889" w:rsidRDefault="00467E8A" w:rsidP="00D81B57">
            <w:pPr>
              <w:jc w:val="center"/>
              <w:rPr>
                <w:sz w:val="20"/>
              </w:rPr>
            </w:pPr>
            <w:r>
              <w:rPr>
                <w:sz w:val="20"/>
              </w:rPr>
              <w:t>0.0%</w:t>
            </w:r>
          </w:p>
        </w:tc>
        <w:tc>
          <w:tcPr>
            <w:tcW w:w="1368" w:type="dxa"/>
            <w:noWrap/>
            <w:hideMark/>
          </w:tcPr>
          <w:p w14:paraId="6D9C80DC" w14:textId="6C8D4808" w:rsidR="00D81B57" w:rsidRPr="002C2889" w:rsidRDefault="00D81B57" w:rsidP="00D81B57">
            <w:pPr>
              <w:jc w:val="center"/>
              <w:rPr>
                <w:sz w:val="20"/>
              </w:rPr>
            </w:pPr>
            <w:r>
              <w:rPr>
                <w:sz w:val="20"/>
              </w:rPr>
              <w:t>0.3</w:t>
            </w:r>
            <w:r w:rsidRPr="002C2889">
              <w:rPr>
                <w:sz w:val="20"/>
              </w:rPr>
              <w:t>%</w:t>
            </w:r>
          </w:p>
        </w:tc>
      </w:tr>
    </w:tbl>
    <w:p w14:paraId="4693C3A0" w14:textId="77777777" w:rsidR="00320D64" w:rsidRDefault="00320D64" w:rsidP="007F6CA5">
      <w:pPr>
        <w:spacing w:after="200" w:line="276" w:lineRule="auto"/>
      </w:pPr>
    </w:p>
    <w:p w14:paraId="687686B1" w14:textId="77777777" w:rsidR="00320D64" w:rsidRDefault="00320D64" w:rsidP="007F6CA5">
      <w:pPr>
        <w:spacing w:after="200" w:line="276" w:lineRule="auto"/>
      </w:pPr>
    </w:p>
    <w:p w14:paraId="261A1FC0" w14:textId="77777777" w:rsidR="00320D64" w:rsidRDefault="00320D64" w:rsidP="007F6CA5">
      <w:pPr>
        <w:spacing w:after="200" w:line="276" w:lineRule="auto"/>
      </w:pPr>
    </w:p>
    <w:p w14:paraId="5340CE5C" w14:textId="77777777" w:rsidR="00320D64" w:rsidRDefault="00320D64" w:rsidP="007F6CA5">
      <w:pPr>
        <w:spacing w:after="200" w:line="276" w:lineRule="auto"/>
      </w:pPr>
    </w:p>
    <w:p w14:paraId="78396F71" w14:textId="77777777" w:rsidR="00320D64" w:rsidRDefault="00320D64" w:rsidP="007F6CA5">
      <w:pPr>
        <w:spacing w:after="200" w:line="276" w:lineRule="auto"/>
      </w:pPr>
    </w:p>
    <w:p w14:paraId="4E7541F4" w14:textId="77777777" w:rsidR="00320D64" w:rsidRDefault="00320D64" w:rsidP="007F6CA5">
      <w:pPr>
        <w:spacing w:after="200" w:line="276" w:lineRule="auto"/>
      </w:pPr>
    </w:p>
    <w:p w14:paraId="037009E2" w14:textId="77777777" w:rsidR="00320D64" w:rsidRDefault="00320D64" w:rsidP="007F6CA5">
      <w:pPr>
        <w:spacing w:after="200" w:line="276" w:lineRule="auto"/>
      </w:pPr>
    </w:p>
    <w:p w14:paraId="53133A23" w14:textId="77777777" w:rsidR="006B7233" w:rsidRDefault="006B7233" w:rsidP="007F6CA5">
      <w:pPr>
        <w:spacing w:after="200" w:line="276" w:lineRule="auto"/>
      </w:pPr>
    </w:p>
    <w:p w14:paraId="23AA31E6" w14:textId="77777777" w:rsidR="006B7233" w:rsidRDefault="006B7233" w:rsidP="007F6CA5">
      <w:pPr>
        <w:spacing w:after="200" w:line="276" w:lineRule="auto"/>
      </w:pPr>
    </w:p>
    <w:p w14:paraId="53490E95" w14:textId="77777777" w:rsidR="006B7233" w:rsidRDefault="006B7233" w:rsidP="007F6CA5">
      <w:pPr>
        <w:spacing w:after="200" w:line="276" w:lineRule="auto"/>
      </w:pPr>
    </w:p>
    <w:p w14:paraId="34C155A7" w14:textId="77777777" w:rsidR="006B7233" w:rsidRDefault="006B7233" w:rsidP="007F6CA5">
      <w:pPr>
        <w:spacing w:after="200" w:line="276" w:lineRule="auto"/>
      </w:pPr>
    </w:p>
    <w:p w14:paraId="77FFB43E" w14:textId="77777777" w:rsidR="006B7233" w:rsidRDefault="006B7233" w:rsidP="007F6CA5">
      <w:pPr>
        <w:spacing w:after="200" w:line="276" w:lineRule="auto"/>
      </w:pPr>
    </w:p>
    <w:p w14:paraId="27B2A0CA" w14:textId="77777777" w:rsidR="006B7233" w:rsidRDefault="006B7233" w:rsidP="007F6CA5">
      <w:pPr>
        <w:spacing w:after="200" w:line="276" w:lineRule="auto"/>
      </w:pPr>
    </w:p>
    <w:p w14:paraId="0ACF3F60" w14:textId="77777777" w:rsidR="006B7233" w:rsidRDefault="006B7233" w:rsidP="007F6CA5">
      <w:pPr>
        <w:spacing w:after="200" w:line="276" w:lineRule="auto"/>
      </w:pPr>
    </w:p>
    <w:p w14:paraId="7FC9D353" w14:textId="77777777" w:rsidR="00A97D58" w:rsidRDefault="00A97D58" w:rsidP="00F61953">
      <w:pPr>
        <w:spacing w:after="200" w:line="276" w:lineRule="auto"/>
      </w:pPr>
    </w:p>
    <w:p w14:paraId="038261C0" w14:textId="77777777" w:rsidR="00F61953" w:rsidRDefault="007F6CA5" w:rsidP="00F61953">
      <w:pPr>
        <w:spacing w:after="200" w:line="276" w:lineRule="auto"/>
        <w:rPr>
          <w:b/>
        </w:rPr>
      </w:pPr>
      <w:r>
        <w:lastRenderedPageBreak/>
        <w:t>Se</w:t>
      </w:r>
      <w:r w:rsidR="00514A1A">
        <w:rPr>
          <w:b/>
        </w:rPr>
        <w:t>nsitivity analysis by regression model</w:t>
      </w:r>
    </w:p>
    <w:p w14:paraId="0004323C" w14:textId="3D2F03EA" w:rsidR="00F61953" w:rsidRDefault="00F61953" w:rsidP="00F61953">
      <w:pPr>
        <w:jc w:val="both"/>
      </w:pPr>
      <w:r>
        <w:t>To see if the results in the main text were due to the use of a linear model, we also explored the use of the Poisson model of under 5 mortality . This model used</w:t>
      </w:r>
      <w:r w:rsidR="00AC5C8C">
        <w:t xml:space="preserve"> </w:t>
      </w:r>
      <w:r>
        <w:t>the default indicator variable</w:t>
      </w:r>
      <w:r w:rsidR="006151D7">
        <w:t xml:space="preserve"> for each policy area: </w:t>
      </w:r>
      <w:r w:rsidR="00AC5C8C">
        <w:t xml:space="preserve">GDP per capita, clean water access, skilled birth attendance, lag 10 years </w:t>
      </w:r>
      <w:r w:rsidR="0031743B">
        <w:t xml:space="preserve">girls </w:t>
      </w:r>
      <w:r w:rsidR="00AC5C8C">
        <w:t xml:space="preserve">primary school attendance, log odds measles immunization, </w:t>
      </w:r>
      <w:r w:rsidR="001B773B">
        <w:t>lag 5 years total fertility rate,</w:t>
      </w:r>
      <w:r w:rsidR="007F6CA5">
        <w:t xml:space="preserve"> rural electricity access,</w:t>
      </w:r>
      <w:r w:rsidR="001B773B">
        <w:t xml:space="preserve"> </w:t>
      </w:r>
      <w:r w:rsidR="00AC5C8C">
        <w:t>and % of parliamentarians that are wom</w:t>
      </w:r>
      <w:r>
        <w:t>en.  There are three possible assumptions about the weighting matrix. Omega=1 derives beta exclusively from the 2010 dataset.  Omega=0 derives the coefficient exclusively from the 2010 data and. Omega=</w:t>
      </w:r>
      <w:proofErr w:type="spellStart"/>
      <w:r>
        <w:t>Neumark</w:t>
      </w:r>
      <w:proofErr w:type="spellEnd"/>
      <w:r>
        <w:t xml:space="preserve"> is a weighted average of coefficients from both 1990 and 2010 using a weight matrix.  R</w:t>
      </w:r>
      <w:r w:rsidRPr="00FF0E32">
        <w:t>esults from decomposing using the zero inflated Poisson regression of untransfor</w:t>
      </w:r>
      <w:r>
        <w:t>med U5MR showed that the change in health determinants</w:t>
      </w:r>
      <w:r w:rsidRPr="00FF0E32">
        <w:t xml:space="preserve"> accounted for </w:t>
      </w:r>
      <w:r>
        <w:t>85.3</w:t>
      </w:r>
      <w:r w:rsidRPr="00FF0E32">
        <w:t>% of the gap and factor impact accounted for</w:t>
      </w:r>
      <w:r>
        <w:t xml:space="preserve"> 14.6% of the gap, which is similar to the result found in the main analysis</w:t>
      </w:r>
      <w:r w:rsidRPr="00FF0E32">
        <w:t>.</w:t>
      </w:r>
      <w:r>
        <w:t xml:space="preserve">  </w:t>
      </w:r>
    </w:p>
    <w:p w14:paraId="4FB5FA34" w14:textId="77777777" w:rsidR="00F61953" w:rsidRPr="00F61953" w:rsidRDefault="00F61953" w:rsidP="00F61953">
      <w:pPr>
        <w:jc w:val="both"/>
      </w:pPr>
    </w:p>
    <w:p w14:paraId="20EA61F6" w14:textId="0B94A02B" w:rsidR="00AC5C8C" w:rsidRPr="00F61953" w:rsidRDefault="00320D64" w:rsidP="00514A1A">
      <w:pPr>
        <w:jc w:val="both"/>
        <w:rPr>
          <w:b/>
        </w:rPr>
      </w:pPr>
      <w:proofErr w:type="gramStart"/>
      <w:r w:rsidRPr="00F61953">
        <w:rPr>
          <w:b/>
        </w:rPr>
        <w:t xml:space="preserve">Table </w:t>
      </w:r>
      <w:r w:rsidR="00040C2C">
        <w:rPr>
          <w:b/>
        </w:rPr>
        <w:t>D</w:t>
      </w:r>
      <w:r w:rsidRPr="00F61953">
        <w:rPr>
          <w:b/>
        </w:rPr>
        <w:t>.</w:t>
      </w:r>
      <w:proofErr w:type="gramEnd"/>
      <w:r w:rsidRPr="00F61953">
        <w:rPr>
          <w:b/>
        </w:rPr>
        <w:t xml:space="preserve">  Sensitivity to Use of Zero Infla</w:t>
      </w:r>
      <w:r w:rsidR="00F61953" w:rsidRPr="00F61953">
        <w:rPr>
          <w:b/>
        </w:rPr>
        <w:t>ted Poisson Regression</w:t>
      </w:r>
    </w:p>
    <w:p w14:paraId="3889D685" w14:textId="77777777" w:rsidR="00AC5C8C" w:rsidRPr="00AC5C8C" w:rsidRDefault="00AC5C8C" w:rsidP="00AC5C8C">
      <w:pPr>
        <w:shd w:val="clear" w:color="auto" w:fill="FFFFFF"/>
        <w:rPr>
          <w:rFonts w:ascii="Arial" w:eastAsia="Times New Roman" w:hAnsi="Arial" w:cs="Arial"/>
          <w:color w:val="222222"/>
          <w:sz w:val="20"/>
          <w:szCs w:val="20"/>
        </w:rPr>
      </w:pPr>
      <w:r w:rsidRPr="00AC5C8C">
        <w:rPr>
          <w:rFonts w:ascii="Courier New" w:eastAsia="Times New Roman" w:hAnsi="Courier New" w:cs="Courier New"/>
          <w:color w:val="1F497D"/>
        </w:rPr>
        <w:t> </w:t>
      </w:r>
    </w:p>
    <w:p w14:paraId="412A674E" w14:textId="2885A727" w:rsidR="007F6CA5" w:rsidRPr="007F6CA5" w:rsidRDefault="007F6CA5" w:rsidP="007F6CA5">
      <w:pPr>
        <w:jc w:val="both"/>
        <w:rPr>
          <w:rFonts w:ascii="Courier New" w:hAnsi="Courier New" w:cs="Courier New"/>
        </w:rPr>
      </w:pPr>
      <w:r w:rsidRPr="007F6CA5">
        <w:rPr>
          <w:rFonts w:ascii="Courier New" w:hAnsi="Courier New" w:cs="Courier New"/>
        </w:rPr>
        <w:t xml:space="preserve">             </w:t>
      </w:r>
      <w:r w:rsidR="006B7233">
        <w:rPr>
          <w:rFonts w:ascii="Courier New" w:hAnsi="Courier New" w:cs="Courier New"/>
        </w:rPr>
        <w:t xml:space="preserve">                          </w:t>
      </w:r>
      <w:r w:rsidR="006B12CB">
        <w:rPr>
          <w:rFonts w:ascii="Courier New" w:hAnsi="Courier New" w:cs="Courier New"/>
        </w:rPr>
        <w:t xml:space="preserve">   </w:t>
      </w:r>
      <w:r w:rsidRPr="007F6CA5">
        <w:rPr>
          <w:rFonts w:ascii="Courier New" w:hAnsi="Courier New" w:cs="Courier New"/>
        </w:rPr>
        <w:t xml:space="preserve"> Number of </w:t>
      </w:r>
      <w:proofErr w:type="spellStart"/>
      <w:r w:rsidRPr="007F6CA5">
        <w:rPr>
          <w:rFonts w:ascii="Courier New" w:hAnsi="Courier New" w:cs="Courier New"/>
        </w:rPr>
        <w:t>obs</w:t>
      </w:r>
      <w:proofErr w:type="spellEnd"/>
      <w:r w:rsidRPr="007F6CA5">
        <w:rPr>
          <w:rFonts w:ascii="Courier New" w:hAnsi="Courier New" w:cs="Courier New"/>
        </w:rPr>
        <w:t xml:space="preserve"> (A) =     142</w:t>
      </w:r>
    </w:p>
    <w:p w14:paraId="12C9F6AD" w14:textId="234B4EDA" w:rsidR="007F6CA5" w:rsidRPr="007F6CA5" w:rsidRDefault="007F6CA5" w:rsidP="007F6CA5">
      <w:pPr>
        <w:jc w:val="both"/>
        <w:rPr>
          <w:rFonts w:ascii="Courier New" w:hAnsi="Courier New" w:cs="Courier New"/>
        </w:rPr>
      </w:pPr>
      <w:r w:rsidRPr="007F6CA5">
        <w:rPr>
          <w:rFonts w:ascii="Courier New" w:hAnsi="Courier New" w:cs="Courier New"/>
        </w:rPr>
        <w:t xml:space="preserve">       </w:t>
      </w:r>
      <w:r w:rsidR="006B7233">
        <w:rPr>
          <w:rFonts w:ascii="Courier New" w:hAnsi="Courier New" w:cs="Courier New"/>
        </w:rPr>
        <w:t xml:space="preserve">                          </w:t>
      </w:r>
      <w:r w:rsidRPr="007F6CA5">
        <w:rPr>
          <w:rFonts w:ascii="Courier New" w:hAnsi="Courier New" w:cs="Courier New"/>
        </w:rPr>
        <w:t xml:space="preserve">  </w:t>
      </w:r>
      <w:r w:rsidR="006B12CB">
        <w:rPr>
          <w:rFonts w:ascii="Courier New" w:hAnsi="Courier New" w:cs="Courier New"/>
        </w:rPr>
        <w:t xml:space="preserve">     </w:t>
      </w:r>
      <w:r w:rsidRPr="007F6CA5">
        <w:rPr>
          <w:rFonts w:ascii="Courier New" w:hAnsi="Courier New" w:cs="Courier New"/>
        </w:rPr>
        <w:t xml:space="preserve">   Number of </w:t>
      </w:r>
      <w:proofErr w:type="spellStart"/>
      <w:r w:rsidRPr="007F6CA5">
        <w:rPr>
          <w:rFonts w:ascii="Courier New" w:hAnsi="Courier New" w:cs="Courier New"/>
        </w:rPr>
        <w:t>obs</w:t>
      </w:r>
      <w:proofErr w:type="spellEnd"/>
      <w:r w:rsidRPr="007F6CA5">
        <w:rPr>
          <w:rFonts w:ascii="Courier New" w:hAnsi="Courier New" w:cs="Courier New"/>
        </w:rPr>
        <w:t xml:space="preserve"> (B) =     133</w:t>
      </w:r>
    </w:p>
    <w:p w14:paraId="69090E6E" w14:textId="77777777" w:rsidR="007F6CA5" w:rsidRPr="007F6CA5" w:rsidRDefault="007F6CA5" w:rsidP="007F6CA5">
      <w:pPr>
        <w:jc w:val="both"/>
        <w:rPr>
          <w:rFonts w:ascii="Courier New" w:hAnsi="Courier New" w:cs="Courier New"/>
        </w:rPr>
      </w:pPr>
    </w:p>
    <w:p w14:paraId="1B7B8C06" w14:textId="14379E55"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w:t>
      </w:r>
    </w:p>
    <w:p w14:paraId="6DB77188" w14:textId="2EEE58E9"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Results </w:t>
      </w:r>
      <w:r w:rsidR="00320D64">
        <w:rPr>
          <w:rFonts w:ascii="Courier New" w:hAnsi="Courier New" w:cs="Courier New"/>
          <w:lang w:val="pt-BR"/>
        </w:rPr>
        <w:t xml:space="preserve">  </w:t>
      </w:r>
      <w:r w:rsidRPr="002F1833">
        <w:rPr>
          <w:rFonts w:ascii="Courier New" w:hAnsi="Courier New" w:cs="Courier New"/>
          <w:lang w:val="pt-BR"/>
        </w:rPr>
        <w:t>|      Coef.  Percentage</w:t>
      </w:r>
    </w:p>
    <w:p w14:paraId="318B66D1" w14:textId="34C1D8E7"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w:t>
      </w:r>
    </w:p>
    <w:p w14:paraId="4BF435DE" w14:textId="14B4ADA6"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Omega = 1    </w:t>
      </w:r>
      <w:r w:rsidR="00320D64">
        <w:rPr>
          <w:rFonts w:ascii="Courier New" w:hAnsi="Courier New" w:cs="Courier New"/>
          <w:lang w:val="pt-BR"/>
        </w:rPr>
        <w:t xml:space="preserve">  </w:t>
      </w:r>
      <w:r w:rsidRPr="002F1833">
        <w:rPr>
          <w:rFonts w:ascii="Courier New" w:hAnsi="Courier New" w:cs="Courier New"/>
          <w:lang w:val="pt-BR"/>
        </w:rPr>
        <w:t>|</w:t>
      </w:r>
    </w:p>
    <w:p w14:paraId="72C36C99" w14:textId="1B75E3E6"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Char </w:t>
      </w:r>
      <w:r w:rsidR="00320D64">
        <w:rPr>
          <w:rFonts w:ascii="Courier New" w:hAnsi="Courier New" w:cs="Courier New"/>
          <w:lang w:val="pt-BR"/>
        </w:rPr>
        <w:t xml:space="preserve">  </w:t>
      </w:r>
      <w:r w:rsidRPr="002F1833">
        <w:rPr>
          <w:rFonts w:ascii="Courier New" w:hAnsi="Courier New" w:cs="Courier New"/>
          <w:lang w:val="pt-BR"/>
        </w:rPr>
        <w:t>|  -39768.18   96.74137%</w:t>
      </w:r>
    </w:p>
    <w:p w14:paraId="4E2A1973" w14:textId="35C32BD9"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Coef </w:t>
      </w:r>
      <w:r w:rsidR="00320D64">
        <w:rPr>
          <w:rFonts w:ascii="Courier New" w:hAnsi="Courier New" w:cs="Courier New"/>
          <w:lang w:val="pt-BR"/>
        </w:rPr>
        <w:t xml:space="preserve">  </w:t>
      </w:r>
      <w:r w:rsidRPr="002F1833">
        <w:rPr>
          <w:rFonts w:ascii="Courier New" w:hAnsi="Courier New" w:cs="Courier New"/>
          <w:lang w:val="pt-BR"/>
        </w:rPr>
        <w:t>|   -1339.55   3.258633%</w:t>
      </w:r>
    </w:p>
    <w:p w14:paraId="401F31F6" w14:textId="0BAAEE56"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w:t>
      </w:r>
    </w:p>
    <w:p w14:paraId="07CC7466" w14:textId="678A0A8A"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Omega = 0    </w:t>
      </w:r>
      <w:r w:rsidR="00320D64">
        <w:rPr>
          <w:rFonts w:ascii="Courier New" w:hAnsi="Courier New" w:cs="Courier New"/>
          <w:lang w:val="pt-BR"/>
        </w:rPr>
        <w:t xml:space="preserve">  </w:t>
      </w:r>
      <w:r w:rsidRPr="002F1833">
        <w:rPr>
          <w:rFonts w:ascii="Courier New" w:hAnsi="Courier New" w:cs="Courier New"/>
          <w:lang w:val="pt-BR"/>
        </w:rPr>
        <w:t>|</w:t>
      </w:r>
    </w:p>
    <w:p w14:paraId="499A3237" w14:textId="05213F67"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Char </w:t>
      </w:r>
      <w:r w:rsidR="00320D64">
        <w:rPr>
          <w:rFonts w:ascii="Courier New" w:hAnsi="Courier New" w:cs="Courier New"/>
          <w:lang w:val="pt-BR"/>
        </w:rPr>
        <w:t xml:space="preserve">  </w:t>
      </w:r>
      <w:r w:rsidRPr="002F1833">
        <w:rPr>
          <w:rFonts w:ascii="Courier New" w:hAnsi="Courier New" w:cs="Courier New"/>
          <w:lang w:val="pt-BR"/>
        </w:rPr>
        <w:t>|  -33883.02   82.42494%</w:t>
      </w:r>
    </w:p>
    <w:p w14:paraId="3B85348F" w14:textId="3DE4947C"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 xml:space="preserve">         Coef </w:t>
      </w:r>
      <w:r w:rsidR="00320D64">
        <w:rPr>
          <w:rFonts w:ascii="Courier New" w:hAnsi="Courier New" w:cs="Courier New"/>
          <w:lang w:val="pt-BR"/>
        </w:rPr>
        <w:t xml:space="preserve">  </w:t>
      </w:r>
      <w:r w:rsidRPr="002F1833">
        <w:rPr>
          <w:rFonts w:ascii="Courier New" w:hAnsi="Courier New" w:cs="Courier New"/>
          <w:lang w:val="pt-BR"/>
        </w:rPr>
        <w:t>|  -7224.709   17.57506%</w:t>
      </w:r>
    </w:p>
    <w:p w14:paraId="003E1DDB" w14:textId="3786199B" w:rsidR="007F6CA5" w:rsidRPr="002F1833" w:rsidRDefault="007F6CA5" w:rsidP="007F6CA5">
      <w:pPr>
        <w:jc w:val="both"/>
        <w:rPr>
          <w:rFonts w:ascii="Courier New" w:hAnsi="Courier New" w:cs="Courier New"/>
          <w:lang w:val="pt-BR"/>
        </w:rPr>
      </w:pPr>
      <w:r w:rsidRPr="002F1833">
        <w:rPr>
          <w:rFonts w:ascii="Courier New" w:hAnsi="Courier New" w:cs="Courier New"/>
          <w:lang w:val="pt-BR"/>
        </w:rPr>
        <w:t>--------------</w:t>
      </w:r>
      <w:r w:rsidR="00320D64">
        <w:rPr>
          <w:rFonts w:ascii="Courier New" w:hAnsi="Courier New" w:cs="Courier New"/>
          <w:lang w:val="pt-BR"/>
        </w:rPr>
        <w:t>--</w:t>
      </w:r>
      <w:r w:rsidRPr="002F1833">
        <w:rPr>
          <w:rFonts w:ascii="Courier New" w:hAnsi="Courier New" w:cs="Courier New"/>
          <w:lang w:val="pt-BR"/>
        </w:rPr>
        <w:t>+-----------------------------------------------------</w:t>
      </w:r>
    </w:p>
    <w:p w14:paraId="6A0C0E1B" w14:textId="2DA75774" w:rsidR="007F6CA5" w:rsidRPr="002F1833" w:rsidRDefault="00320D64" w:rsidP="007F6CA5">
      <w:pPr>
        <w:jc w:val="both"/>
        <w:rPr>
          <w:rFonts w:ascii="Courier New" w:hAnsi="Courier New" w:cs="Courier New"/>
          <w:lang w:val="pt-BR"/>
        </w:rPr>
      </w:pPr>
      <w:r>
        <w:rPr>
          <w:rFonts w:ascii="Courier New" w:hAnsi="Courier New" w:cs="Courier New"/>
          <w:lang w:val="pt-BR"/>
        </w:rPr>
        <w:t xml:space="preserve"> Omega = Neumark</w:t>
      </w:r>
      <w:r w:rsidR="007F6CA5" w:rsidRPr="002F1833">
        <w:rPr>
          <w:rFonts w:ascii="Courier New" w:hAnsi="Courier New" w:cs="Courier New"/>
          <w:lang w:val="pt-BR"/>
        </w:rPr>
        <w:t>|</w:t>
      </w:r>
    </w:p>
    <w:p w14:paraId="6B8620D0" w14:textId="72766A88" w:rsidR="007F6CA5" w:rsidRPr="006B317D" w:rsidRDefault="007F6CA5" w:rsidP="007F6CA5">
      <w:pPr>
        <w:jc w:val="both"/>
        <w:rPr>
          <w:rFonts w:ascii="Courier New" w:hAnsi="Courier New" w:cs="Courier New"/>
        </w:rPr>
      </w:pPr>
      <w:r w:rsidRPr="002F1833">
        <w:rPr>
          <w:rFonts w:ascii="Courier New" w:hAnsi="Courier New" w:cs="Courier New"/>
          <w:lang w:val="pt-BR"/>
        </w:rPr>
        <w:t xml:space="preserve">         </w:t>
      </w:r>
      <w:r w:rsidRPr="006B317D">
        <w:rPr>
          <w:rFonts w:ascii="Courier New" w:hAnsi="Courier New" w:cs="Courier New"/>
        </w:rPr>
        <w:t xml:space="preserve">Prod </w:t>
      </w:r>
      <w:r w:rsidR="00320D64" w:rsidRPr="006B317D">
        <w:rPr>
          <w:rFonts w:ascii="Courier New" w:hAnsi="Courier New" w:cs="Courier New"/>
        </w:rPr>
        <w:t xml:space="preserve">  </w:t>
      </w:r>
      <w:proofErr w:type="gramStart"/>
      <w:r w:rsidRPr="006B317D">
        <w:rPr>
          <w:rFonts w:ascii="Courier New" w:hAnsi="Courier New" w:cs="Courier New"/>
        </w:rPr>
        <w:t>|  -</w:t>
      </w:r>
      <w:proofErr w:type="gramEnd"/>
      <w:r w:rsidRPr="006B317D">
        <w:rPr>
          <w:rFonts w:ascii="Courier New" w:hAnsi="Courier New" w:cs="Courier New"/>
        </w:rPr>
        <w:t xml:space="preserve">35096.04   </w:t>
      </w:r>
      <w:r w:rsidRPr="006B317D">
        <w:rPr>
          <w:rFonts w:ascii="Courier New" w:hAnsi="Courier New" w:cs="Courier New"/>
          <w:b/>
        </w:rPr>
        <w:t>85.37578%</w:t>
      </w:r>
    </w:p>
    <w:p w14:paraId="13A5AF38" w14:textId="43E1CA35" w:rsidR="007F6CA5" w:rsidRPr="007F6CA5" w:rsidRDefault="007F6CA5" w:rsidP="007F6CA5">
      <w:pPr>
        <w:jc w:val="both"/>
        <w:rPr>
          <w:rFonts w:ascii="Courier New" w:hAnsi="Courier New" w:cs="Courier New"/>
        </w:rPr>
      </w:pPr>
      <w:r w:rsidRPr="006B317D">
        <w:rPr>
          <w:rFonts w:ascii="Courier New" w:hAnsi="Courier New" w:cs="Courier New"/>
        </w:rPr>
        <w:t xml:space="preserve">          </w:t>
      </w:r>
      <w:proofErr w:type="spellStart"/>
      <w:r w:rsidRPr="007F6CA5">
        <w:rPr>
          <w:rFonts w:ascii="Courier New" w:hAnsi="Courier New" w:cs="Courier New"/>
        </w:rPr>
        <w:t>Adv</w:t>
      </w:r>
      <w:proofErr w:type="spellEnd"/>
      <w:r w:rsidRPr="007F6CA5">
        <w:rPr>
          <w:rFonts w:ascii="Courier New" w:hAnsi="Courier New" w:cs="Courier New"/>
        </w:rPr>
        <w:t xml:space="preserve"> </w:t>
      </w:r>
      <w:r w:rsidR="00320D64">
        <w:rPr>
          <w:rFonts w:ascii="Courier New" w:hAnsi="Courier New" w:cs="Courier New"/>
        </w:rPr>
        <w:t xml:space="preserve">  </w:t>
      </w:r>
      <w:proofErr w:type="gramStart"/>
      <w:r w:rsidRPr="007F6CA5">
        <w:rPr>
          <w:rFonts w:ascii="Courier New" w:hAnsi="Courier New" w:cs="Courier New"/>
        </w:rPr>
        <w:t>|  -</w:t>
      </w:r>
      <w:proofErr w:type="gramEnd"/>
      <w:r w:rsidRPr="007F6CA5">
        <w:rPr>
          <w:rFonts w:ascii="Courier New" w:hAnsi="Courier New" w:cs="Courier New"/>
        </w:rPr>
        <w:t>3717.014    9.04213%</w:t>
      </w:r>
    </w:p>
    <w:p w14:paraId="563FC14C" w14:textId="4817352F" w:rsidR="007F6CA5" w:rsidRPr="007F6CA5" w:rsidRDefault="007F6CA5" w:rsidP="007F6CA5">
      <w:pPr>
        <w:jc w:val="both"/>
        <w:rPr>
          <w:rFonts w:ascii="Courier New" w:hAnsi="Courier New" w:cs="Courier New"/>
        </w:rPr>
      </w:pPr>
      <w:r w:rsidRPr="007F6CA5">
        <w:rPr>
          <w:rFonts w:ascii="Courier New" w:hAnsi="Courier New" w:cs="Courier New"/>
        </w:rPr>
        <w:t xml:space="preserve">       </w:t>
      </w:r>
      <w:proofErr w:type="spellStart"/>
      <w:r w:rsidRPr="007F6CA5">
        <w:rPr>
          <w:rFonts w:ascii="Courier New" w:hAnsi="Courier New" w:cs="Courier New"/>
        </w:rPr>
        <w:t>Disadv</w:t>
      </w:r>
      <w:proofErr w:type="spellEnd"/>
      <w:r w:rsidRPr="007F6CA5">
        <w:rPr>
          <w:rFonts w:ascii="Courier New" w:hAnsi="Courier New" w:cs="Courier New"/>
        </w:rPr>
        <w:t xml:space="preserve"> </w:t>
      </w:r>
      <w:r w:rsidR="00320D64">
        <w:rPr>
          <w:rFonts w:ascii="Courier New" w:hAnsi="Courier New" w:cs="Courier New"/>
        </w:rPr>
        <w:t xml:space="preserve">  </w:t>
      </w:r>
      <w:r w:rsidRPr="007F6CA5">
        <w:rPr>
          <w:rFonts w:ascii="Courier New" w:hAnsi="Courier New" w:cs="Courier New"/>
        </w:rPr>
        <w:t>|   -2294.67   5.582088%</w:t>
      </w:r>
    </w:p>
    <w:p w14:paraId="66E76529" w14:textId="2E912A46" w:rsidR="007F6CA5" w:rsidRPr="007F6CA5" w:rsidRDefault="007F6CA5" w:rsidP="007F6CA5">
      <w:pPr>
        <w:jc w:val="both"/>
        <w:rPr>
          <w:rFonts w:ascii="Courier New" w:hAnsi="Courier New" w:cs="Courier New"/>
        </w:rPr>
      </w:pPr>
      <w:r w:rsidRPr="007F6CA5">
        <w:rPr>
          <w:rFonts w:ascii="Courier New" w:hAnsi="Courier New" w:cs="Courier New"/>
        </w:rPr>
        <w:t>--------------+-------------------------------------------------------</w:t>
      </w:r>
    </w:p>
    <w:p w14:paraId="5620CCF4" w14:textId="3D60356D" w:rsidR="007F6CA5" w:rsidRPr="007F6CA5" w:rsidRDefault="007F6CA5" w:rsidP="007F6CA5">
      <w:pPr>
        <w:jc w:val="both"/>
        <w:rPr>
          <w:rFonts w:ascii="Courier New" w:hAnsi="Courier New" w:cs="Courier New"/>
        </w:rPr>
      </w:pPr>
      <w:r w:rsidRPr="007F6CA5">
        <w:rPr>
          <w:rFonts w:ascii="Courier New" w:hAnsi="Courier New" w:cs="Courier New"/>
        </w:rPr>
        <w:t xml:space="preserve">          Raw </w:t>
      </w:r>
      <w:r w:rsidR="00320D64">
        <w:rPr>
          <w:rFonts w:ascii="Courier New" w:hAnsi="Courier New" w:cs="Courier New"/>
        </w:rPr>
        <w:t xml:space="preserve">  </w:t>
      </w:r>
      <w:r w:rsidRPr="007F6CA5">
        <w:rPr>
          <w:rFonts w:ascii="Courier New" w:hAnsi="Courier New" w:cs="Courier New"/>
        </w:rPr>
        <w:t>|  -41107.73        100%</w:t>
      </w:r>
    </w:p>
    <w:p w14:paraId="7280FA3D" w14:textId="120F868A" w:rsidR="00514A1A" w:rsidRPr="007F6CA5" w:rsidRDefault="007F6CA5" w:rsidP="007F6CA5">
      <w:pPr>
        <w:jc w:val="both"/>
        <w:rPr>
          <w:rFonts w:ascii="Courier New" w:hAnsi="Courier New" w:cs="Courier New"/>
        </w:rPr>
      </w:pPr>
      <w:r w:rsidRPr="007F6CA5">
        <w:rPr>
          <w:rFonts w:ascii="Courier New" w:hAnsi="Courier New" w:cs="Courier New"/>
        </w:rPr>
        <w:t>----------------------------------------------------------------------</w:t>
      </w:r>
      <w:r w:rsidRPr="007F6CA5">
        <w:rPr>
          <w:rFonts w:ascii="Courier New" w:hAnsi="Courier New" w:cs="Courier New"/>
        </w:rPr>
        <w:tab/>
      </w:r>
      <w:r w:rsidRPr="007F6CA5">
        <w:rPr>
          <w:rFonts w:ascii="Courier New" w:hAnsi="Courier New" w:cs="Courier New"/>
        </w:rPr>
        <w:tab/>
      </w:r>
      <w:r w:rsidRPr="007F6CA5">
        <w:rPr>
          <w:rFonts w:ascii="Courier New" w:hAnsi="Courier New" w:cs="Courier New"/>
        </w:rPr>
        <w:tab/>
      </w:r>
      <w:r w:rsidRPr="007F6CA5">
        <w:rPr>
          <w:rFonts w:ascii="Courier New" w:hAnsi="Courier New" w:cs="Courier New"/>
        </w:rPr>
        <w:tab/>
      </w:r>
      <w:r w:rsidRPr="007F6CA5">
        <w:rPr>
          <w:rFonts w:ascii="Courier New" w:hAnsi="Courier New" w:cs="Courier New"/>
        </w:rPr>
        <w:tab/>
      </w:r>
      <w:r w:rsidRPr="007F6CA5">
        <w:rPr>
          <w:rFonts w:ascii="Courier New" w:hAnsi="Courier New" w:cs="Courier New"/>
        </w:rPr>
        <w:tab/>
      </w:r>
      <w:r w:rsidRPr="007F6CA5">
        <w:rPr>
          <w:rFonts w:ascii="Courier New" w:hAnsi="Courier New" w:cs="Courier New"/>
        </w:rPr>
        <w:tab/>
      </w:r>
      <w:r w:rsidRPr="007F6CA5">
        <w:rPr>
          <w:rFonts w:ascii="Courier New" w:hAnsi="Courier New" w:cs="Courier New"/>
        </w:rPr>
        <w:tab/>
      </w:r>
    </w:p>
    <w:p w14:paraId="7C01C082" w14:textId="77777777" w:rsidR="00943EE9" w:rsidRDefault="00943EE9">
      <w:pPr>
        <w:spacing w:after="200" w:line="276" w:lineRule="auto"/>
        <w:rPr>
          <w:b/>
        </w:rPr>
        <w:sectPr w:rsidR="00943EE9">
          <w:pgSz w:w="12240" w:h="15840"/>
          <w:pgMar w:top="1440" w:right="1440" w:bottom="1440" w:left="1440" w:header="720" w:footer="720" w:gutter="0"/>
          <w:cols w:space="720"/>
          <w:docGrid w:linePitch="360"/>
        </w:sectPr>
      </w:pPr>
    </w:p>
    <w:p w14:paraId="36E28ED6" w14:textId="39F0DDC2" w:rsidR="00027E7A" w:rsidRDefault="00A46F96" w:rsidP="000D2B1D">
      <w:pPr>
        <w:pStyle w:val="Heading1"/>
        <w:jc w:val="both"/>
        <w:rPr>
          <w:sz w:val="24"/>
        </w:rPr>
      </w:pPr>
      <w:bookmarkStart w:id="2" w:name="_Toc439262132"/>
      <w:r>
        <w:rPr>
          <w:color w:val="auto"/>
          <w:sz w:val="24"/>
        </w:rPr>
        <w:lastRenderedPageBreak/>
        <w:t>RESULTS</w:t>
      </w:r>
      <w:bookmarkEnd w:id="2"/>
      <w:r w:rsidRPr="00027E7A">
        <w:rPr>
          <w:color w:val="auto"/>
          <w:sz w:val="24"/>
        </w:rPr>
        <w:t xml:space="preserve"> </w:t>
      </w:r>
    </w:p>
    <w:p w14:paraId="2C8E75D2" w14:textId="77777777" w:rsidR="00027E7A" w:rsidRDefault="00027E7A" w:rsidP="000D2B1D">
      <w:pPr>
        <w:jc w:val="both"/>
        <w:rPr>
          <w:sz w:val="24"/>
        </w:rPr>
      </w:pPr>
    </w:p>
    <w:p w14:paraId="704AB71A" w14:textId="77777777" w:rsidR="002726C0" w:rsidRDefault="00906944" w:rsidP="000D2B1D">
      <w:pPr>
        <w:jc w:val="both"/>
      </w:pPr>
      <w:r w:rsidRPr="002726C0">
        <w:rPr>
          <w:b/>
        </w:rPr>
        <w:t>Absolute difference in factor levels from 1990-2010 for 23 child health determinants</w:t>
      </w:r>
      <w:r w:rsidRPr="002B3C7D">
        <w:t xml:space="preserve">  </w:t>
      </w:r>
    </w:p>
    <w:p w14:paraId="7D5F5B06" w14:textId="77777777" w:rsidR="00906944" w:rsidRDefault="00906944" w:rsidP="000D2B1D">
      <w:pPr>
        <w:jc w:val="both"/>
      </w:pPr>
      <w:r w:rsidRPr="002B3C7D">
        <w:t xml:space="preserve">When data was missing for 1990 or 2010, the closest available data entry in time was substituted.  Means are not weighted by population in order to prevent domination of the analysis by China and India.  </w:t>
      </w:r>
      <w:r>
        <w:t>The 10 Success Factor countries have been identified as the 10 “Countdown to 2015” countries on track to meet both MDG4 and MDG5a</w:t>
      </w:r>
      <w:r w:rsidR="00B46CBB">
        <w:fldChar w:fldCharType="begin"/>
      </w:r>
      <w:r w:rsidR="00B46CBB">
        <w:instrText xml:space="preserve"> ADDIN EN.CITE &lt;EndNote&gt;&lt;Cite&gt;&lt;Author&gt;Partnership for Maternal&lt;/Author&gt;&lt;Year&gt;2014&lt;/Year&gt;&lt;RecNum&gt;283&lt;/RecNum&gt;&lt;DisplayText&gt;[31]&lt;/DisplayText&gt;&lt;record&gt;&lt;rec-number&gt;283&lt;/rec-number&gt;&lt;foreign-keys&gt;&lt;key app="EN" db-id="vaaa05tf7s502vefz2kvfd0izap5erafd0sa"&gt;283&lt;/key&gt;&lt;/foreign-keys&gt;&lt;ref-type name="Web Page"&gt;12&lt;/ref-type&gt;&lt;contributors&gt;&lt;authors&gt;&lt;author&gt;Partnership for Maternal, Newborn &amp;amp; Child Health, World Health Organization,&lt;/author&gt;&lt;/authors&gt;&lt;/contributors&gt;&lt;titles&gt;&lt;title&gt;Success Factors in Women’s and Children’s Health: Multisector Pathways to Progress&lt;/title&gt;&lt;/titles&gt;&lt;dates&gt;&lt;year&gt;2014&lt;/year&gt;&lt;/dates&gt;&lt;pub-location&gt;Geneva, Switzerland&lt;/pub-location&gt;&lt;publisher&gt;World Health Organization&lt;/publisher&gt;&lt;label&gt;PMNCH&lt;/label&gt;&lt;urls&gt;&lt;related-urls&gt;&lt;url&gt;http://www.who.int/pmnch/knowledge/publications/successfactors/en/&lt;/url&gt;&lt;/related-urls&gt;&lt;/urls&gt;&lt;/record&gt;&lt;/Cite&gt;&lt;/EndNote&gt;</w:instrText>
      </w:r>
      <w:r w:rsidR="00B46CBB">
        <w:fldChar w:fldCharType="separate"/>
      </w:r>
      <w:r w:rsidR="00B46CBB">
        <w:rPr>
          <w:noProof/>
        </w:rPr>
        <w:t>[</w:t>
      </w:r>
      <w:hyperlink w:anchor="_ENREF_31" w:tooltip="Partnership for Maternal, 2014 #283" w:history="1">
        <w:r w:rsidR="00263223">
          <w:rPr>
            <w:noProof/>
          </w:rPr>
          <w:t>31</w:t>
        </w:r>
      </w:hyperlink>
      <w:r w:rsidR="00B46CBB">
        <w:rPr>
          <w:noProof/>
        </w:rPr>
        <w:t>]</w:t>
      </w:r>
      <w:r w:rsidR="00B46CBB">
        <w:fldChar w:fldCharType="end"/>
      </w:r>
      <w:r>
        <w:t xml:space="preserve">. </w:t>
      </w:r>
      <w:r w:rsidRPr="002B3C7D">
        <w:t>The “</w:t>
      </w:r>
      <w:r>
        <w:t>Other LMICs</w:t>
      </w:r>
      <w:r w:rsidRPr="002B3C7D">
        <w:t xml:space="preserve">” category varies between 82-132 countries (mean 120), depending on the availability of data.  P-values (in parentheses next to indicator name) were calculated by N-way ANOVA.  Data scales were altered by factors of 10 to allow all to be measured in approximately the same order of magnitude.  *P &lt; .05, **P&lt; .01.  </w:t>
      </w:r>
    </w:p>
    <w:p w14:paraId="42C31DB4" w14:textId="77777777" w:rsidR="00F61953" w:rsidRDefault="00F61953" w:rsidP="000D2B1D">
      <w:pPr>
        <w:jc w:val="both"/>
        <w:rPr>
          <w:b/>
        </w:rPr>
      </w:pPr>
    </w:p>
    <w:p w14:paraId="3B4AF77C" w14:textId="5FD14372" w:rsidR="00906944" w:rsidRPr="002726C0" w:rsidRDefault="002726C0" w:rsidP="000D2B1D">
      <w:pPr>
        <w:jc w:val="both"/>
        <w:rPr>
          <w:b/>
        </w:rPr>
      </w:pPr>
      <w:r w:rsidRPr="002726C0">
        <w:rPr>
          <w:b/>
        </w:rPr>
        <w:t xml:space="preserve">Figure </w:t>
      </w:r>
      <w:r w:rsidR="00040C2C">
        <w:rPr>
          <w:b/>
        </w:rPr>
        <w:t>A</w:t>
      </w:r>
      <w:r w:rsidRPr="002726C0">
        <w:rPr>
          <w:b/>
        </w:rPr>
        <w:t>.</w:t>
      </w:r>
      <w:r w:rsidR="00F61953">
        <w:rPr>
          <w:b/>
        </w:rPr>
        <w:t xml:space="preserve">  Changes in child health determinants between 1990 and 2010</w:t>
      </w:r>
      <w:r w:rsidRPr="002726C0">
        <w:rPr>
          <w:b/>
        </w:rPr>
        <w:t xml:space="preserve"> </w:t>
      </w:r>
    </w:p>
    <w:p w14:paraId="46052F81" w14:textId="77777777" w:rsidR="00906944" w:rsidRDefault="00906944" w:rsidP="000D2B1D">
      <w:pPr>
        <w:jc w:val="both"/>
      </w:pPr>
      <w:r>
        <w:rPr>
          <w:noProof/>
        </w:rPr>
        <w:drawing>
          <wp:inline distT="0" distB="0" distL="0" distR="0" wp14:anchorId="1AD16CE9" wp14:editId="6F4BF8D7">
            <wp:extent cx="7974330" cy="375539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74330" cy="3755390"/>
                    </a:xfrm>
                    <a:prstGeom prst="rect">
                      <a:avLst/>
                    </a:prstGeom>
                    <a:noFill/>
                  </pic:spPr>
                </pic:pic>
              </a:graphicData>
            </a:graphic>
          </wp:inline>
        </w:drawing>
      </w:r>
    </w:p>
    <w:p w14:paraId="6FCBC0A6" w14:textId="77777777" w:rsidR="006B7233" w:rsidRDefault="006B7233" w:rsidP="00F61953">
      <w:pPr>
        <w:jc w:val="both"/>
      </w:pPr>
    </w:p>
    <w:p w14:paraId="46379E0C" w14:textId="77777777" w:rsidR="00943EE9" w:rsidRDefault="00943EE9">
      <w:pPr>
        <w:spacing w:after="200" w:line="276" w:lineRule="auto"/>
        <w:sectPr w:rsidR="00943EE9" w:rsidSect="00943EE9">
          <w:pgSz w:w="15840" w:h="12240" w:orient="landscape"/>
          <w:pgMar w:top="1440" w:right="1440" w:bottom="1440" w:left="1440" w:header="720" w:footer="720" w:gutter="0"/>
          <w:cols w:space="720"/>
          <w:docGrid w:linePitch="360"/>
        </w:sectPr>
      </w:pPr>
    </w:p>
    <w:p w14:paraId="54A63B60" w14:textId="7A156499" w:rsidR="00F61953" w:rsidRDefault="00F61953" w:rsidP="00F61953">
      <w:pPr>
        <w:jc w:val="both"/>
      </w:pPr>
      <w:r>
        <w:lastRenderedPageBreak/>
        <w:t xml:space="preserve">Figure </w:t>
      </w:r>
      <w:r w:rsidR="00040C2C">
        <w:t>B</w:t>
      </w:r>
      <w:r>
        <w:t xml:space="preserve">. </w:t>
      </w:r>
      <w:r w:rsidRPr="00F61953">
        <w:t>Uncertainty ranges shown using box and whisker plots around the effect size of each health determinant</w:t>
      </w:r>
      <w:r w:rsidR="00191F40">
        <w:t xml:space="preserve"> (Imputed models)</w:t>
      </w:r>
      <w:r w:rsidRPr="00F61953">
        <w:t>.</w:t>
      </w:r>
    </w:p>
    <w:p w14:paraId="4C688D54" w14:textId="7269782B" w:rsidR="006B7233" w:rsidRDefault="006B7233" w:rsidP="00F61953">
      <w:pPr>
        <w:jc w:val="both"/>
      </w:pPr>
      <w:r w:rsidRPr="006B7233">
        <w:rPr>
          <w:noProof/>
        </w:rPr>
        <w:drawing>
          <wp:inline distT="0" distB="0" distL="0" distR="0" wp14:anchorId="1E45162F" wp14:editId="21F94219">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7A7B60DB" w14:textId="24D622BB" w:rsidR="001511FB" w:rsidRDefault="001511FB" w:rsidP="000D2B1D">
      <w:pPr>
        <w:jc w:val="both"/>
      </w:pPr>
      <w:r>
        <w:rPr>
          <w:noProof/>
        </w:rPr>
        <w:drawing>
          <wp:inline distT="0" distB="0" distL="0" distR="0" wp14:anchorId="45FF1821" wp14:editId="49BD091E">
            <wp:extent cx="5115560" cy="37439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5560" cy="3743960"/>
                    </a:xfrm>
                    <a:prstGeom prst="rect">
                      <a:avLst/>
                    </a:prstGeom>
                    <a:noFill/>
                    <a:ln>
                      <a:noFill/>
                    </a:ln>
                  </pic:spPr>
                </pic:pic>
              </a:graphicData>
            </a:graphic>
          </wp:inline>
        </w:drawing>
      </w:r>
    </w:p>
    <w:p w14:paraId="5A3130AB" w14:textId="75EDB783" w:rsidR="008C3AE9" w:rsidRDefault="000C449C" w:rsidP="008C3AE9">
      <w:pPr>
        <w:pStyle w:val="Heading1"/>
        <w:jc w:val="both"/>
        <w:rPr>
          <w:color w:val="auto"/>
          <w:sz w:val="24"/>
        </w:rPr>
      </w:pPr>
      <w:bookmarkStart w:id="3" w:name="_Toc439262133"/>
      <w:r>
        <w:rPr>
          <w:color w:val="auto"/>
          <w:sz w:val="24"/>
        </w:rPr>
        <w:lastRenderedPageBreak/>
        <w:t xml:space="preserve">Text A   </w:t>
      </w:r>
      <w:bookmarkStart w:id="4" w:name="_GoBack"/>
      <w:bookmarkEnd w:id="4"/>
      <w:r w:rsidR="008C3AE9">
        <w:rPr>
          <w:color w:val="auto"/>
          <w:sz w:val="24"/>
        </w:rPr>
        <w:t>STATA CODE</w:t>
      </w:r>
      <w:bookmarkEnd w:id="3"/>
      <w:r w:rsidR="008C3AE9" w:rsidRPr="00027E7A">
        <w:rPr>
          <w:color w:val="auto"/>
          <w:sz w:val="24"/>
        </w:rPr>
        <w:t xml:space="preserve"> </w:t>
      </w:r>
    </w:p>
    <w:p w14:paraId="4DADB3B1" w14:textId="77777777" w:rsidR="008C3AE9" w:rsidRDefault="008C3AE9" w:rsidP="008C3AE9"/>
    <w:p w14:paraId="2AD9EE23" w14:textId="059183B1" w:rsidR="008C3AE9" w:rsidRDefault="008C3AE9" w:rsidP="008C3AE9">
      <w:r>
        <w:t>//U5MR loops</w:t>
      </w:r>
    </w:p>
    <w:p w14:paraId="13009231" w14:textId="77777777" w:rsidR="008C3AE9" w:rsidRDefault="008C3AE9" w:rsidP="008C3AE9">
      <w:r>
        <w:t xml:space="preserve">global </w:t>
      </w:r>
      <w:proofErr w:type="spellStart"/>
      <w:r>
        <w:t>gdpvars</w:t>
      </w:r>
      <w:proofErr w:type="spellEnd"/>
      <w:r>
        <w:t xml:space="preserve"> "</w:t>
      </w:r>
      <w:proofErr w:type="spellStart"/>
      <w:r>
        <w:t>loggdp</w:t>
      </w:r>
      <w:proofErr w:type="spellEnd"/>
      <w:r>
        <w:t xml:space="preserve"> </w:t>
      </w:r>
      <w:proofErr w:type="spellStart"/>
      <w:r>
        <w:t>loggdpppp</w:t>
      </w:r>
      <w:proofErr w:type="spellEnd"/>
      <w:r>
        <w:t xml:space="preserve">" </w:t>
      </w:r>
    </w:p>
    <w:p w14:paraId="17F5270A" w14:textId="534EEA11" w:rsidR="008C3AE9" w:rsidRDefault="008C3AE9" w:rsidP="008C3AE9">
      <w:r>
        <w:t xml:space="preserve">global </w:t>
      </w:r>
      <w:proofErr w:type="spellStart"/>
      <w:r>
        <w:t>fertvars</w:t>
      </w:r>
      <w:proofErr w:type="spellEnd"/>
      <w:r>
        <w:t xml:space="preserve"> "loglag5TFR"</w:t>
      </w:r>
    </w:p>
    <w:p w14:paraId="32E757D1" w14:textId="599C1142" w:rsidR="008C3AE9" w:rsidRDefault="008C3AE9" w:rsidP="008C3AE9">
      <w:r>
        <w:t xml:space="preserve">global </w:t>
      </w:r>
      <w:proofErr w:type="spellStart"/>
      <w:r>
        <w:t>envvars</w:t>
      </w:r>
      <w:proofErr w:type="spellEnd"/>
      <w:r>
        <w:t xml:space="preserve"> "</w:t>
      </w:r>
      <w:proofErr w:type="spellStart"/>
      <w:r>
        <w:t>logwaterodds</w:t>
      </w:r>
      <w:proofErr w:type="spellEnd"/>
      <w:r>
        <w:t xml:space="preserve"> </w:t>
      </w:r>
      <w:proofErr w:type="spellStart"/>
      <w:r>
        <w:t>logsanitodds</w:t>
      </w:r>
      <w:proofErr w:type="spellEnd"/>
      <w:r>
        <w:t>"</w:t>
      </w:r>
    </w:p>
    <w:p w14:paraId="7020B4B4" w14:textId="1576725C" w:rsidR="008C3AE9" w:rsidRDefault="008C3AE9" w:rsidP="008C3AE9">
      <w:r>
        <w:t xml:space="preserve">global </w:t>
      </w:r>
      <w:proofErr w:type="spellStart"/>
      <w:r>
        <w:t>educvars</w:t>
      </w:r>
      <w:proofErr w:type="spellEnd"/>
      <w:r>
        <w:t xml:space="preserve"> "lag5secschoolfem lag10prischoolfem lag5secschool"</w:t>
      </w:r>
    </w:p>
    <w:p w14:paraId="31C15E0B" w14:textId="752F9FBB" w:rsidR="008C3AE9" w:rsidRDefault="008C3AE9" w:rsidP="008C3AE9">
      <w:r>
        <w:t xml:space="preserve">global </w:t>
      </w:r>
      <w:proofErr w:type="spellStart"/>
      <w:r>
        <w:t>healthsysvars</w:t>
      </w:r>
      <w:proofErr w:type="spellEnd"/>
      <w:r>
        <w:t xml:space="preserve"> "</w:t>
      </w:r>
      <w:proofErr w:type="spellStart"/>
      <w:r>
        <w:t>logoddsSBA</w:t>
      </w:r>
      <w:proofErr w:type="spellEnd"/>
      <w:r>
        <w:t xml:space="preserve"> logdocs1k"</w:t>
      </w:r>
    </w:p>
    <w:p w14:paraId="6241A130" w14:textId="32B02721" w:rsidR="008C3AE9" w:rsidRDefault="008C3AE9" w:rsidP="008C3AE9">
      <w:r>
        <w:t xml:space="preserve">global </w:t>
      </w:r>
      <w:proofErr w:type="spellStart"/>
      <w:r>
        <w:t>immvars</w:t>
      </w:r>
      <w:proofErr w:type="spellEnd"/>
      <w:r>
        <w:t xml:space="preserve"> "</w:t>
      </w:r>
      <w:proofErr w:type="spellStart"/>
      <w:r>
        <w:t>logoddsMeas</w:t>
      </w:r>
      <w:proofErr w:type="spellEnd"/>
      <w:r>
        <w:t xml:space="preserve"> </w:t>
      </w:r>
      <w:proofErr w:type="spellStart"/>
      <w:r>
        <w:t>logoddsDPT</w:t>
      </w:r>
      <w:proofErr w:type="spellEnd"/>
      <w:r>
        <w:t xml:space="preserve">" </w:t>
      </w:r>
    </w:p>
    <w:p w14:paraId="0AD19C70" w14:textId="77777777" w:rsidR="008C3AE9" w:rsidRDefault="008C3AE9" w:rsidP="008C3AE9">
      <w:r>
        <w:t xml:space="preserve">global </w:t>
      </w:r>
      <w:proofErr w:type="spellStart"/>
      <w:r>
        <w:t>womenvars</w:t>
      </w:r>
      <w:proofErr w:type="spellEnd"/>
      <w:r>
        <w:t xml:space="preserve"> "</w:t>
      </w:r>
      <w:proofErr w:type="spellStart"/>
      <w:r>
        <w:t>femlabor</w:t>
      </w:r>
      <w:proofErr w:type="spellEnd"/>
      <w:r>
        <w:t xml:space="preserve"> </w:t>
      </w:r>
      <w:proofErr w:type="spellStart"/>
      <w:r>
        <w:t>womenparl</w:t>
      </w:r>
      <w:proofErr w:type="spellEnd"/>
      <w:r>
        <w:t>"</w:t>
      </w:r>
    </w:p>
    <w:p w14:paraId="07080355" w14:textId="266B1AAE" w:rsidR="008C3AE9" w:rsidRDefault="008C3AE9" w:rsidP="008C3AE9">
      <w:r>
        <w:t xml:space="preserve">global </w:t>
      </w:r>
      <w:proofErr w:type="spellStart"/>
      <w:r>
        <w:t>infravars</w:t>
      </w:r>
      <w:proofErr w:type="spellEnd"/>
      <w:r>
        <w:t xml:space="preserve"> "</w:t>
      </w:r>
      <w:proofErr w:type="spellStart"/>
      <w:r>
        <w:t>ruralelec</w:t>
      </w:r>
      <w:proofErr w:type="spellEnd"/>
      <w:r>
        <w:t xml:space="preserve"> </w:t>
      </w:r>
      <w:proofErr w:type="spellStart"/>
      <w:r>
        <w:t>urb</w:t>
      </w:r>
      <w:proofErr w:type="spellEnd"/>
      <w:r>
        <w:t>"</w:t>
      </w:r>
    </w:p>
    <w:p w14:paraId="59749836" w14:textId="77777777" w:rsidR="008C3AE9" w:rsidRDefault="008C3AE9" w:rsidP="008C3AE9"/>
    <w:p w14:paraId="45693A46" w14:textId="77777777" w:rsidR="008C3AE9" w:rsidRDefault="008C3AE9" w:rsidP="008C3AE9">
      <w:proofErr w:type="spellStart"/>
      <w:r>
        <w:t>foreach</w:t>
      </w:r>
      <w:proofErr w:type="spellEnd"/>
      <w:r>
        <w:t xml:space="preserve"> </w:t>
      </w:r>
      <w:proofErr w:type="spellStart"/>
      <w:r>
        <w:t>gdpvar</w:t>
      </w:r>
      <w:proofErr w:type="spellEnd"/>
      <w:r>
        <w:t xml:space="preserve"> of </w:t>
      </w:r>
      <w:proofErr w:type="spellStart"/>
      <w:r>
        <w:t>varlist</w:t>
      </w:r>
      <w:proofErr w:type="spellEnd"/>
      <w:r>
        <w:t xml:space="preserve"> $</w:t>
      </w:r>
      <w:proofErr w:type="spellStart"/>
      <w:r>
        <w:t>gdpvars</w:t>
      </w:r>
      <w:proofErr w:type="spellEnd"/>
      <w:r>
        <w:t xml:space="preserve"> {</w:t>
      </w:r>
    </w:p>
    <w:p w14:paraId="70ED6392" w14:textId="77777777" w:rsidR="008C3AE9" w:rsidRDefault="008C3AE9" w:rsidP="008C3AE9">
      <w:r>
        <w:t xml:space="preserve">        </w:t>
      </w:r>
      <w:proofErr w:type="spellStart"/>
      <w:r>
        <w:t>foreach</w:t>
      </w:r>
      <w:proofErr w:type="spellEnd"/>
      <w:r>
        <w:t xml:space="preserve"> </w:t>
      </w:r>
      <w:proofErr w:type="spellStart"/>
      <w:r>
        <w:t>healthsysvar</w:t>
      </w:r>
      <w:proofErr w:type="spellEnd"/>
      <w:r>
        <w:t xml:space="preserve"> of </w:t>
      </w:r>
      <w:proofErr w:type="spellStart"/>
      <w:r>
        <w:t>varlist</w:t>
      </w:r>
      <w:proofErr w:type="spellEnd"/>
      <w:r>
        <w:t xml:space="preserve"> $</w:t>
      </w:r>
      <w:proofErr w:type="spellStart"/>
      <w:r>
        <w:t>healthsysvars</w:t>
      </w:r>
      <w:proofErr w:type="spellEnd"/>
      <w:r>
        <w:t xml:space="preserve"> {</w:t>
      </w:r>
    </w:p>
    <w:p w14:paraId="5E11D791" w14:textId="3A8022FF" w:rsidR="008C3AE9" w:rsidRDefault="008C3AE9" w:rsidP="008C3AE9">
      <w:r>
        <w:tab/>
      </w:r>
      <w:proofErr w:type="spellStart"/>
      <w:r>
        <w:t>foreach</w:t>
      </w:r>
      <w:proofErr w:type="spellEnd"/>
      <w:r>
        <w:t xml:space="preserve"> </w:t>
      </w:r>
      <w:proofErr w:type="spellStart"/>
      <w:r>
        <w:t>immvar</w:t>
      </w:r>
      <w:proofErr w:type="spellEnd"/>
      <w:r>
        <w:t xml:space="preserve"> of </w:t>
      </w:r>
      <w:proofErr w:type="spellStart"/>
      <w:r>
        <w:t>varlist</w:t>
      </w:r>
      <w:proofErr w:type="spellEnd"/>
      <w:r>
        <w:t xml:space="preserve"> $</w:t>
      </w:r>
      <w:proofErr w:type="spellStart"/>
      <w:r>
        <w:t>immvars</w:t>
      </w:r>
      <w:proofErr w:type="spellEnd"/>
      <w:r>
        <w:t xml:space="preserve"> {</w:t>
      </w:r>
    </w:p>
    <w:p w14:paraId="6D87B582" w14:textId="3A75E203" w:rsidR="008C3AE9" w:rsidRDefault="008C3AE9" w:rsidP="008C3AE9">
      <w:r>
        <w:tab/>
        <w:t xml:space="preserve">      </w:t>
      </w:r>
      <w:proofErr w:type="spellStart"/>
      <w:r>
        <w:t>foreach</w:t>
      </w:r>
      <w:proofErr w:type="spellEnd"/>
      <w:r>
        <w:t xml:space="preserve"> </w:t>
      </w:r>
      <w:proofErr w:type="spellStart"/>
      <w:r>
        <w:t>fertvar</w:t>
      </w:r>
      <w:proofErr w:type="spellEnd"/>
      <w:r>
        <w:t xml:space="preserve"> of </w:t>
      </w:r>
      <w:proofErr w:type="spellStart"/>
      <w:r>
        <w:t>varlist</w:t>
      </w:r>
      <w:proofErr w:type="spellEnd"/>
      <w:r>
        <w:t xml:space="preserve"> $</w:t>
      </w:r>
      <w:proofErr w:type="spellStart"/>
      <w:r>
        <w:t>fertvars</w:t>
      </w:r>
      <w:proofErr w:type="spellEnd"/>
      <w:r>
        <w:t xml:space="preserve"> {          //Also run without this loop to remove fertility </w:t>
      </w:r>
      <w:proofErr w:type="spellStart"/>
      <w:r>
        <w:t>vars</w:t>
      </w:r>
      <w:proofErr w:type="spellEnd"/>
    </w:p>
    <w:p w14:paraId="0A4B2248" w14:textId="6164E4CB" w:rsidR="008C3AE9" w:rsidRDefault="008C3AE9" w:rsidP="008C3AE9">
      <w:r>
        <w:tab/>
        <w:t xml:space="preserve">          </w:t>
      </w:r>
      <w:proofErr w:type="spellStart"/>
      <w:r>
        <w:t>foreach</w:t>
      </w:r>
      <w:proofErr w:type="spellEnd"/>
      <w:r>
        <w:t xml:space="preserve"> </w:t>
      </w:r>
      <w:proofErr w:type="spellStart"/>
      <w:r>
        <w:t>envvar</w:t>
      </w:r>
      <w:proofErr w:type="spellEnd"/>
      <w:r>
        <w:t xml:space="preserve"> of </w:t>
      </w:r>
      <w:proofErr w:type="spellStart"/>
      <w:r>
        <w:t>varlist</w:t>
      </w:r>
      <w:proofErr w:type="spellEnd"/>
      <w:r>
        <w:t xml:space="preserve"> $</w:t>
      </w:r>
      <w:proofErr w:type="spellStart"/>
      <w:r>
        <w:t>envvars</w:t>
      </w:r>
      <w:proofErr w:type="spellEnd"/>
      <w:r>
        <w:t xml:space="preserve"> {</w:t>
      </w:r>
    </w:p>
    <w:p w14:paraId="7F6EE6EA" w14:textId="77B574E0" w:rsidR="008C3AE9" w:rsidRDefault="008C3AE9" w:rsidP="008C3AE9">
      <w:r>
        <w:tab/>
      </w:r>
      <w:r>
        <w:tab/>
      </w:r>
      <w:proofErr w:type="spellStart"/>
      <w:r>
        <w:t>foreach</w:t>
      </w:r>
      <w:proofErr w:type="spellEnd"/>
      <w:r>
        <w:t xml:space="preserve"> </w:t>
      </w:r>
      <w:proofErr w:type="spellStart"/>
      <w:r>
        <w:t>educvar</w:t>
      </w:r>
      <w:proofErr w:type="spellEnd"/>
      <w:r>
        <w:t xml:space="preserve"> of </w:t>
      </w:r>
      <w:proofErr w:type="spellStart"/>
      <w:r>
        <w:t>varlist</w:t>
      </w:r>
      <w:proofErr w:type="spellEnd"/>
      <w:r>
        <w:t xml:space="preserve"> $</w:t>
      </w:r>
      <w:proofErr w:type="spellStart"/>
      <w:r>
        <w:t>educvars</w:t>
      </w:r>
      <w:proofErr w:type="spellEnd"/>
      <w:r>
        <w:t xml:space="preserve"> {</w:t>
      </w:r>
    </w:p>
    <w:p w14:paraId="5C9D9924" w14:textId="6337C1F9" w:rsidR="008C3AE9" w:rsidRDefault="008C3AE9" w:rsidP="008C3AE9">
      <w:r>
        <w:tab/>
      </w:r>
      <w:r>
        <w:tab/>
        <w:t xml:space="preserve">     </w:t>
      </w:r>
      <w:proofErr w:type="spellStart"/>
      <w:r>
        <w:t>foreach</w:t>
      </w:r>
      <w:proofErr w:type="spellEnd"/>
      <w:r>
        <w:t xml:space="preserve"> </w:t>
      </w:r>
      <w:proofErr w:type="spellStart"/>
      <w:r>
        <w:t>womenvar</w:t>
      </w:r>
      <w:proofErr w:type="spellEnd"/>
      <w:r>
        <w:t xml:space="preserve"> of </w:t>
      </w:r>
      <w:proofErr w:type="spellStart"/>
      <w:r>
        <w:t>varlist</w:t>
      </w:r>
      <w:proofErr w:type="spellEnd"/>
      <w:r>
        <w:t xml:space="preserve"> $</w:t>
      </w:r>
      <w:proofErr w:type="spellStart"/>
      <w:r>
        <w:t>womenvars</w:t>
      </w:r>
      <w:proofErr w:type="spellEnd"/>
      <w:r>
        <w:t xml:space="preserve"> {</w:t>
      </w:r>
    </w:p>
    <w:p w14:paraId="44A60A1D" w14:textId="24FF9C2F" w:rsidR="008C3AE9" w:rsidRDefault="008C3AE9" w:rsidP="008C3AE9">
      <w:r>
        <w:tab/>
      </w:r>
      <w:r>
        <w:tab/>
        <w:t xml:space="preserve">        </w:t>
      </w:r>
      <w:proofErr w:type="spellStart"/>
      <w:r>
        <w:t>foreach</w:t>
      </w:r>
      <w:proofErr w:type="spellEnd"/>
      <w:r>
        <w:t xml:space="preserve"> </w:t>
      </w:r>
      <w:proofErr w:type="spellStart"/>
      <w:r>
        <w:t>i</w:t>
      </w:r>
      <w:r w:rsidR="006B7233">
        <w:t>nfravar</w:t>
      </w:r>
      <w:proofErr w:type="spellEnd"/>
      <w:r w:rsidR="006B7233">
        <w:t xml:space="preserve"> of </w:t>
      </w:r>
      <w:proofErr w:type="spellStart"/>
      <w:r w:rsidR="006B7233">
        <w:t>varlist</w:t>
      </w:r>
      <w:proofErr w:type="spellEnd"/>
      <w:r w:rsidR="006B7233">
        <w:t xml:space="preserve"> $</w:t>
      </w:r>
      <w:proofErr w:type="spellStart"/>
      <w:r w:rsidR="006B7233">
        <w:t>infravars</w:t>
      </w:r>
      <w:proofErr w:type="spellEnd"/>
      <w:r w:rsidR="006B7233">
        <w:t xml:space="preserve"> {</w:t>
      </w:r>
    </w:p>
    <w:p w14:paraId="0660953A" w14:textId="2B7D6505" w:rsidR="008C3AE9" w:rsidRDefault="008C3AE9" w:rsidP="008C3AE9">
      <w:proofErr w:type="spellStart"/>
      <w:r>
        <w:t>oaxaca</w:t>
      </w:r>
      <w:proofErr w:type="spellEnd"/>
      <w:r>
        <w:t xml:space="preserve"> logU5mavg `</w:t>
      </w:r>
      <w:proofErr w:type="spellStart"/>
      <w:r>
        <w:t>gdpvar</w:t>
      </w:r>
      <w:proofErr w:type="spellEnd"/>
      <w:r>
        <w:t>' `</w:t>
      </w:r>
      <w:proofErr w:type="spellStart"/>
      <w:r>
        <w:t>healthsysvar</w:t>
      </w:r>
      <w:proofErr w:type="spellEnd"/>
      <w:r>
        <w:t>' `</w:t>
      </w:r>
      <w:proofErr w:type="spellStart"/>
      <w:r>
        <w:t>fertvar</w:t>
      </w:r>
      <w:proofErr w:type="spellEnd"/>
      <w:r>
        <w:t>' `</w:t>
      </w:r>
      <w:proofErr w:type="spellStart"/>
      <w:r>
        <w:t>educvar</w:t>
      </w:r>
      <w:proofErr w:type="spellEnd"/>
      <w:r>
        <w:t>'  `</w:t>
      </w:r>
      <w:proofErr w:type="spellStart"/>
      <w:r>
        <w:t>womenvar</w:t>
      </w:r>
      <w:proofErr w:type="spellEnd"/>
      <w:r>
        <w:t>' `</w:t>
      </w:r>
      <w:proofErr w:type="spellStart"/>
      <w:r>
        <w:t>immvar</w:t>
      </w:r>
      <w:proofErr w:type="spellEnd"/>
      <w:r>
        <w:t>’ `</w:t>
      </w:r>
      <w:proofErr w:type="spellStart"/>
      <w:r>
        <w:t>infravar</w:t>
      </w:r>
      <w:proofErr w:type="spellEnd"/>
      <w:r>
        <w:t>’ `</w:t>
      </w:r>
      <w:proofErr w:type="spellStart"/>
      <w:r>
        <w:t>envvar</w:t>
      </w:r>
      <w:proofErr w:type="spellEnd"/>
      <w:r>
        <w:t>’</w:t>
      </w:r>
      <w:r w:rsidR="006B7233">
        <w:t>///</w:t>
      </w:r>
      <w:r>
        <w:t xml:space="preserve"> [</w:t>
      </w:r>
      <w:proofErr w:type="spellStart"/>
      <w:r>
        <w:t>aweight</w:t>
      </w:r>
      <w:proofErr w:type="spellEnd"/>
      <w:r>
        <w:t xml:space="preserve"> = </w:t>
      </w:r>
      <w:proofErr w:type="spellStart"/>
      <w:r>
        <w:t>popavg</w:t>
      </w:r>
      <w:proofErr w:type="spellEnd"/>
      <w:r>
        <w:t>], by(group) detail</w:t>
      </w:r>
    </w:p>
    <w:p w14:paraId="57816531" w14:textId="77777777" w:rsidR="008C3AE9" w:rsidRDefault="008C3AE9" w:rsidP="008C3AE9">
      <w:r>
        <w:t xml:space="preserve">outreg2 using U5MR.xlm, append </w:t>
      </w:r>
      <w:proofErr w:type="spellStart"/>
      <w:r>
        <w:t>bdec</w:t>
      </w:r>
      <w:proofErr w:type="spellEnd"/>
      <w:r>
        <w:t>(3)  bracket   excel  label stats(</w:t>
      </w:r>
      <w:proofErr w:type="spellStart"/>
      <w:r>
        <w:t>coef</w:t>
      </w:r>
      <w:proofErr w:type="spellEnd"/>
      <w:r>
        <w:t xml:space="preserve">) </w:t>
      </w:r>
      <w:proofErr w:type="spellStart"/>
      <w:r>
        <w:t>noaster</w:t>
      </w:r>
      <w:proofErr w:type="spellEnd"/>
      <w:r>
        <w:tab/>
      </w:r>
      <w:r>
        <w:tab/>
      </w:r>
    </w:p>
    <w:p w14:paraId="0E33B087" w14:textId="1A13E856" w:rsidR="008C3AE9" w:rsidRDefault="008C3AE9" w:rsidP="008C3AE9">
      <w:r>
        <w:t>}}}}}}}}</w:t>
      </w:r>
      <w:r>
        <w:tab/>
      </w:r>
      <w:r>
        <w:tab/>
      </w:r>
      <w:r>
        <w:tab/>
      </w:r>
      <w:r>
        <w:tab/>
      </w:r>
      <w:r>
        <w:tab/>
      </w:r>
      <w:r>
        <w:tab/>
      </w:r>
      <w:r>
        <w:tab/>
      </w:r>
      <w:r>
        <w:tab/>
      </w:r>
      <w:r>
        <w:tab/>
      </w:r>
    </w:p>
    <w:p w14:paraId="413BFC41" w14:textId="77777777" w:rsidR="008C3AE9" w:rsidRDefault="008C3AE9" w:rsidP="008C3AE9">
      <w:r>
        <w:tab/>
      </w:r>
      <w:r>
        <w:tab/>
      </w:r>
      <w:r>
        <w:tab/>
      </w:r>
      <w:r>
        <w:tab/>
      </w:r>
      <w:r>
        <w:tab/>
      </w:r>
      <w:r>
        <w:tab/>
      </w:r>
      <w:r>
        <w:tab/>
      </w:r>
      <w:r>
        <w:tab/>
      </w:r>
      <w:r>
        <w:tab/>
      </w:r>
      <w:r>
        <w:tab/>
      </w:r>
      <w:r>
        <w:tab/>
      </w:r>
    </w:p>
    <w:p w14:paraId="035B78FA" w14:textId="354932F7" w:rsidR="008C3AE9" w:rsidRDefault="008C3AE9" w:rsidP="008C3AE9">
      <w:r>
        <w:t>//MMR loops</w:t>
      </w:r>
    </w:p>
    <w:p w14:paraId="673CD34D" w14:textId="77777777" w:rsidR="008C3AE9" w:rsidRDefault="008C3AE9" w:rsidP="008C3AE9">
      <w:r>
        <w:t xml:space="preserve">global </w:t>
      </w:r>
      <w:proofErr w:type="spellStart"/>
      <w:r>
        <w:t>gdpvars</w:t>
      </w:r>
      <w:proofErr w:type="spellEnd"/>
      <w:r>
        <w:t xml:space="preserve"> "</w:t>
      </w:r>
      <w:proofErr w:type="spellStart"/>
      <w:r>
        <w:t>loggdp</w:t>
      </w:r>
      <w:proofErr w:type="spellEnd"/>
      <w:r>
        <w:t xml:space="preserve"> </w:t>
      </w:r>
      <w:proofErr w:type="spellStart"/>
      <w:r>
        <w:t>loggdpppp</w:t>
      </w:r>
      <w:proofErr w:type="spellEnd"/>
      <w:r>
        <w:t xml:space="preserve">" </w:t>
      </w:r>
    </w:p>
    <w:p w14:paraId="238331ED" w14:textId="72DC11C8" w:rsidR="008C3AE9" w:rsidRDefault="008C3AE9" w:rsidP="008C3AE9">
      <w:r>
        <w:t xml:space="preserve">global </w:t>
      </w:r>
      <w:proofErr w:type="spellStart"/>
      <w:r>
        <w:t>fertvars</w:t>
      </w:r>
      <w:proofErr w:type="spellEnd"/>
      <w:r>
        <w:t xml:space="preserve"> "</w:t>
      </w:r>
      <w:proofErr w:type="spellStart"/>
      <w:r>
        <w:t>logTFR</w:t>
      </w:r>
      <w:proofErr w:type="spellEnd"/>
      <w:r>
        <w:t xml:space="preserve"> </w:t>
      </w:r>
      <w:proofErr w:type="spellStart"/>
      <w:r>
        <w:t>logadolfert</w:t>
      </w:r>
      <w:proofErr w:type="spellEnd"/>
      <w:r>
        <w:t>"</w:t>
      </w:r>
    </w:p>
    <w:p w14:paraId="7377851C" w14:textId="3934FDB0" w:rsidR="008C3AE9" w:rsidRDefault="008C3AE9" w:rsidP="008C3AE9">
      <w:r>
        <w:t xml:space="preserve">global </w:t>
      </w:r>
      <w:proofErr w:type="spellStart"/>
      <w:r>
        <w:t>educvars</w:t>
      </w:r>
      <w:proofErr w:type="spellEnd"/>
      <w:r>
        <w:t xml:space="preserve"> "</w:t>
      </w:r>
      <w:r w:rsidR="006B7233" w:rsidRPr="006B7233">
        <w:t xml:space="preserve"> </w:t>
      </w:r>
      <w:r w:rsidR="006B7233">
        <w:t xml:space="preserve">lag5secschoolfem lag10prischoolfem lag5secschool </w:t>
      </w:r>
      <w:r>
        <w:t>"</w:t>
      </w:r>
    </w:p>
    <w:p w14:paraId="4B3A7B95" w14:textId="6838FCEF" w:rsidR="008C3AE9" w:rsidRDefault="008C3AE9" w:rsidP="008C3AE9">
      <w:r>
        <w:t xml:space="preserve">global </w:t>
      </w:r>
      <w:proofErr w:type="spellStart"/>
      <w:r>
        <w:t>healthsysvars</w:t>
      </w:r>
      <w:proofErr w:type="spellEnd"/>
      <w:r>
        <w:t xml:space="preserve"> "</w:t>
      </w:r>
      <w:r w:rsidR="006B7233" w:rsidRPr="006B7233">
        <w:t xml:space="preserve"> </w:t>
      </w:r>
      <w:proofErr w:type="spellStart"/>
      <w:r w:rsidR="006B7233">
        <w:t>logoddsSBA</w:t>
      </w:r>
      <w:proofErr w:type="spellEnd"/>
      <w:r w:rsidR="006B7233">
        <w:t xml:space="preserve"> logdocs1k </w:t>
      </w:r>
      <w:proofErr w:type="spellStart"/>
      <w:r w:rsidR="006B7233">
        <w:t>logoddsprenatal</w:t>
      </w:r>
      <w:proofErr w:type="spellEnd"/>
      <w:r>
        <w:t>"</w:t>
      </w:r>
    </w:p>
    <w:p w14:paraId="31CB6E7E" w14:textId="77777777" w:rsidR="008C3AE9" w:rsidRDefault="008C3AE9" w:rsidP="008C3AE9">
      <w:r>
        <w:t xml:space="preserve">global </w:t>
      </w:r>
      <w:proofErr w:type="spellStart"/>
      <w:r>
        <w:t>womenvars</w:t>
      </w:r>
      <w:proofErr w:type="spellEnd"/>
      <w:r>
        <w:t xml:space="preserve"> "</w:t>
      </w:r>
      <w:proofErr w:type="spellStart"/>
      <w:r>
        <w:t>femlabor</w:t>
      </w:r>
      <w:proofErr w:type="spellEnd"/>
      <w:r>
        <w:t xml:space="preserve"> </w:t>
      </w:r>
      <w:proofErr w:type="spellStart"/>
      <w:r>
        <w:t>womenparl</w:t>
      </w:r>
      <w:proofErr w:type="spellEnd"/>
      <w:r>
        <w:t>"</w:t>
      </w:r>
    </w:p>
    <w:p w14:paraId="645AA147" w14:textId="6D4C3D08" w:rsidR="008C3AE9" w:rsidRDefault="008C3AE9" w:rsidP="008C3AE9">
      <w:r>
        <w:t xml:space="preserve">global </w:t>
      </w:r>
      <w:proofErr w:type="spellStart"/>
      <w:r>
        <w:t>infravars</w:t>
      </w:r>
      <w:proofErr w:type="spellEnd"/>
      <w:r>
        <w:t xml:space="preserve"> "</w:t>
      </w:r>
      <w:proofErr w:type="spellStart"/>
      <w:r>
        <w:t>ruralelec</w:t>
      </w:r>
      <w:proofErr w:type="spellEnd"/>
      <w:r>
        <w:t xml:space="preserve"> </w:t>
      </w:r>
      <w:proofErr w:type="spellStart"/>
      <w:r>
        <w:t>urb</w:t>
      </w:r>
      <w:proofErr w:type="spellEnd"/>
      <w:r w:rsidR="006B7233">
        <w:t xml:space="preserve"> </w:t>
      </w:r>
      <w:proofErr w:type="spellStart"/>
      <w:r w:rsidR="006B7233">
        <w:t>logroaddens</w:t>
      </w:r>
      <w:proofErr w:type="spellEnd"/>
      <w:r>
        <w:t>"</w:t>
      </w:r>
    </w:p>
    <w:p w14:paraId="03EA01E7" w14:textId="77777777" w:rsidR="008C3AE9" w:rsidRDefault="008C3AE9" w:rsidP="008C3AE9"/>
    <w:p w14:paraId="4357BDFB" w14:textId="77777777" w:rsidR="008C3AE9" w:rsidRDefault="008C3AE9" w:rsidP="008C3AE9">
      <w:proofErr w:type="spellStart"/>
      <w:r>
        <w:t>foreach</w:t>
      </w:r>
      <w:proofErr w:type="spellEnd"/>
      <w:r>
        <w:t xml:space="preserve"> </w:t>
      </w:r>
      <w:proofErr w:type="spellStart"/>
      <w:r>
        <w:t>gdpvar</w:t>
      </w:r>
      <w:proofErr w:type="spellEnd"/>
      <w:r>
        <w:t xml:space="preserve"> of </w:t>
      </w:r>
      <w:proofErr w:type="spellStart"/>
      <w:r>
        <w:t>varlist</w:t>
      </w:r>
      <w:proofErr w:type="spellEnd"/>
      <w:r>
        <w:t xml:space="preserve"> $</w:t>
      </w:r>
      <w:proofErr w:type="spellStart"/>
      <w:r>
        <w:t>gdpvars</w:t>
      </w:r>
      <w:proofErr w:type="spellEnd"/>
      <w:r>
        <w:t xml:space="preserve"> {</w:t>
      </w:r>
    </w:p>
    <w:p w14:paraId="18200F77" w14:textId="77777777" w:rsidR="008C3AE9" w:rsidRDefault="008C3AE9" w:rsidP="008C3AE9">
      <w:r>
        <w:t xml:space="preserve">        </w:t>
      </w:r>
      <w:proofErr w:type="spellStart"/>
      <w:r>
        <w:t>foreach</w:t>
      </w:r>
      <w:proofErr w:type="spellEnd"/>
      <w:r>
        <w:t xml:space="preserve"> </w:t>
      </w:r>
      <w:proofErr w:type="spellStart"/>
      <w:r>
        <w:t>healthsysvar</w:t>
      </w:r>
      <w:proofErr w:type="spellEnd"/>
      <w:r>
        <w:t xml:space="preserve"> of </w:t>
      </w:r>
      <w:proofErr w:type="spellStart"/>
      <w:r>
        <w:t>varlist</w:t>
      </w:r>
      <w:proofErr w:type="spellEnd"/>
      <w:r>
        <w:t xml:space="preserve"> $</w:t>
      </w:r>
      <w:proofErr w:type="spellStart"/>
      <w:r>
        <w:t>healthsysvars</w:t>
      </w:r>
      <w:proofErr w:type="spellEnd"/>
      <w:r>
        <w:t xml:space="preserve"> {</w:t>
      </w:r>
    </w:p>
    <w:p w14:paraId="3BE34EE8" w14:textId="417941BE" w:rsidR="008C3AE9" w:rsidRDefault="008C3AE9" w:rsidP="008C3AE9">
      <w:r>
        <w:tab/>
        <w:t xml:space="preserve">      </w:t>
      </w:r>
      <w:proofErr w:type="spellStart"/>
      <w:r>
        <w:t>foreach</w:t>
      </w:r>
      <w:proofErr w:type="spellEnd"/>
      <w:r>
        <w:t xml:space="preserve"> </w:t>
      </w:r>
      <w:proofErr w:type="spellStart"/>
      <w:r>
        <w:t>fertvar</w:t>
      </w:r>
      <w:proofErr w:type="spellEnd"/>
      <w:r>
        <w:t xml:space="preserve"> of </w:t>
      </w:r>
      <w:proofErr w:type="spellStart"/>
      <w:r>
        <w:t>varlist</w:t>
      </w:r>
      <w:proofErr w:type="spellEnd"/>
      <w:r>
        <w:t xml:space="preserve"> </w:t>
      </w:r>
      <w:r w:rsidR="006B7233">
        <w:t>$</w:t>
      </w:r>
      <w:proofErr w:type="spellStart"/>
      <w:r w:rsidR="006B7233">
        <w:t>fertvars</w:t>
      </w:r>
      <w:proofErr w:type="spellEnd"/>
      <w:r w:rsidR="006B7233">
        <w:t xml:space="preserve"> {</w:t>
      </w:r>
    </w:p>
    <w:p w14:paraId="1A56F10D" w14:textId="77777777" w:rsidR="008C3AE9" w:rsidRDefault="008C3AE9" w:rsidP="008C3AE9">
      <w:r>
        <w:tab/>
      </w:r>
      <w:r>
        <w:tab/>
      </w:r>
      <w:proofErr w:type="spellStart"/>
      <w:r>
        <w:t>foreach</w:t>
      </w:r>
      <w:proofErr w:type="spellEnd"/>
      <w:r>
        <w:t xml:space="preserve"> </w:t>
      </w:r>
      <w:proofErr w:type="spellStart"/>
      <w:r>
        <w:t>educvar</w:t>
      </w:r>
      <w:proofErr w:type="spellEnd"/>
      <w:r>
        <w:t xml:space="preserve"> of </w:t>
      </w:r>
      <w:proofErr w:type="spellStart"/>
      <w:r>
        <w:t>varlist</w:t>
      </w:r>
      <w:proofErr w:type="spellEnd"/>
      <w:r>
        <w:t xml:space="preserve"> $</w:t>
      </w:r>
      <w:proofErr w:type="spellStart"/>
      <w:r>
        <w:t>educvars</w:t>
      </w:r>
      <w:proofErr w:type="spellEnd"/>
      <w:r>
        <w:t xml:space="preserve"> {</w:t>
      </w:r>
    </w:p>
    <w:p w14:paraId="146A403D" w14:textId="77777777" w:rsidR="008C3AE9" w:rsidRDefault="008C3AE9" w:rsidP="008C3AE9">
      <w:r>
        <w:tab/>
      </w:r>
      <w:r>
        <w:tab/>
        <w:t xml:space="preserve">     </w:t>
      </w:r>
      <w:proofErr w:type="spellStart"/>
      <w:r>
        <w:t>foreach</w:t>
      </w:r>
      <w:proofErr w:type="spellEnd"/>
      <w:r>
        <w:t xml:space="preserve"> </w:t>
      </w:r>
      <w:proofErr w:type="spellStart"/>
      <w:r>
        <w:t>womenvar</w:t>
      </w:r>
      <w:proofErr w:type="spellEnd"/>
      <w:r>
        <w:t xml:space="preserve"> of </w:t>
      </w:r>
      <w:proofErr w:type="spellStart"/>
      <w:r>
        <w:t>varlist</w:t>
      </w:r>
      <w:proofErr w:type="spellEnd"/>
      <w:r>
        <w:t xml:space="preserve"> $</w:t>
      </w:r>
      <w:proofErr w:type="spellStart"/>
      <w:r>
        <w:t>womenvars</w:t>
      </w:r>
      <w:proofErr w:type="spellEnd"/>
      <w:r>
        <w:t xml:space="preserve"> {</w:t>
      </w:r>
    </w:p>
    <w:p w14:paraId="4B2F26B2" w14:textId="77777777" w:rsidR="008C3AE9" w:rsidRDefault="008C3AE9" w:rsidP="008C3AE9">
      <w:r>
        <w:tab/>
      </w:r>
      <w:r>
        <w:tab/>
        <w:t xml:space="preserve">        </w:t>
      </w:r>
      <w:proofErr w:type="spellStart"/>
      <w:r>
        <w:t>foreach</w:t>
      </w:r>
      <w:proofErr w:type="spellEnd"/>
      <w:r>
        <w:t xml:space="preserve"> </w:t>
      </w:r>
      <w:proofErr w:type="spellStart"/>
      <w:r>
        <w:t>infravar</w:t>
      </w:r>
      <w:proofErr w:type="spellEnd"/>
      <w:r>
        <w:t xml:space="preserve"> of </w:t>
      </w:r>
      <w:proofErr w:type="spellStart"/>
      <w:r>
        <w:t>varlist</w:t>
      </w:r>
      <w:proofErr w:type="spellEnd"/>
      <w:r>
        <w:t xml:space="preserve"> $</w:t>
      </w:r>
      <w:proofErr w:type="spellStart"/>
      <w:r>
        <w:t>infravars</w:t>
      </w:r>
      <w:proofErr w:type="spellEnd"/>
      <w:r>
        <w:t xml:space="preserve"> {</w:t>
      </w:r>
    </w:p>
    <w:p w14:paraId="6AEC5FE4" w14:textId="77777777" w:rsidR="008C3AE9" w:rsidRDefault="008C3AE9" w:rsidP="008C3AE9">
      <w:r>
        <w:tab/>
      </w:r>
    </w:p>
    <w:p w14:paraId="092796E2" w14:textId="69D15FB6" w:rsidR="008C3AE9" w:rsidRDefault="008C3AE9" w:rsidP="008C3AE9">
      <w:proofErr w:type="spellStart"/>
      <w:r>
        <w:t>oaxaca</w:t>
      </w:r>
      <w:proofErr w:type="spellEnd"/>
      <w:r>
        <w:t xml:space="preserve"> </w:t>
      </w:r>
      <w:proofErr w:type="spellStart"/>
      <w:r>
        <w:t>log</w:t>
      </w:r>
      <w:r w:rsidR="006B7233">
        <w:t>MMR</w:t>
      </w:r>
      <w:proofErr w:type="spellEnd"/>
      <w:r>
        <w:t xml:space="preserve"> `</w:t>
      </w:r>
      <w:proofErr w:type="spellStart"/>
      <w:r>
        <w:t>gdpvar</w:t>
      </w:r>
      <w:proofErr w:type="spellEnd"/>
      <w:r>
        <w:t>' `</w:t>
      </w:r>
      <w:proofErr w:type="spellStart"/>
      <w:r>
        <w:t>healthsysvar</w:t>
      </w:r>
      <w:proofErr w:type="spellEnd"/>
      <w:r>
        <w:t>' `</w:t>
      </w:r>
      <w:proofErr w:type="spellStart"/>
      <w:r>
        <w:t>fertvar</w:t>
      </w:r>
      <w:proofErr w:type="spellEnd"/>
      <w:r>
        <w:t>' `</w:t>
      </w:r>
      <w:proofErr w:type="spellStart"/>
      <w:r>
        <w:t>educvar</w:t>
      </w:r>
      <w:proofErr w:type="spellEnd"/>
      <w:r>
        <w:t>'  `</w:t>
      </w:r>
      <w:proofErr w:type="spellStart"/>
      <w:r>
        <w:t>womenva</w:t>
      </w:r>
      <w:r w:rsidR="006B7233">
        <w:t>r</w:t>
      </w:r>
      <w:proofErr w:type="spellEnd"/>
      <w:r w:rsidR="006B7233">
        <w:t>' `</w:t>
      </w:r>
      <w:proofErr w:type="spellStart"/>
      <w:r w:rsidR="006B7233">
        <w:t>infravar</w:t>
      </w:r>
      <w:proofErr w:type="spellEnd"/>
      <w:r w:rsidR="006B7233">
        <w:t xml:space="preserve">’ </w:t>
      </w:r>
      <w:r>
        <w:t>[</w:t>
      </w:r>
      <w:proofErr w:type="spellStart"/>
      <w:r>
        <w:t>aweight</w:t>
      </w:r>
      <w:proofErr w:type="spellEnd"/>
      <w:r>
        <w:t xml:space="preserve"> = </w:t>
      </w:r>
      <w:proofErr w:type="spellStart"/>
      <w:r>
        <w:t>popavg</w:t>
      </w:r>
      <w:proofErr w:type="spellEnd"/>
      <w:r>
        <w:t>],</w:t>
      </w:r>
      <w:r w:rsidR="006B7233">
        <w:t>///</w:t>
      </w:r>
      <w:r>
        <w:t xml:space="preserve"> by(group) detail</w:t>
      </w:r>
    </w:p>
    <w:p w14:paraId="4ED402B0" w14:textId="7BDEC962" w:rsidR="008C3AE9" w:rsidRDefault="006B7233" w:rsidP="008C3AE9">
      <w:r>
        <w:t xml:space="preserve">outreg2 using </w:t>
      </w:r>
      <w:proofErr w:type="spellStart"/>
      <w:r>
        <w:t>M</w:t>
      </w:r>
      <w:r w:rsidR="008C3AE9">
        <w:t>MR.xlm</w:t>
      </w:r>
      <w:proofErr w:type="spellEnd"/>
      <w:r w:rsidR="008C3AE9">
        <w:t xml:space="preserve">, append </w:t>
      </w:r>
      <w:proofErr w:type="spellStart"/>
      <w:r w:rsidR="008C3AE9">
        <w:t>bdec</w:t>
      </w:r>
      <w:proofErr w:type="spellEnd"/>
      <w:r w:rsidR="008C3AE9">
        <w:t>(3)  bracket   excel  label stats(</w:t>
      </w:r>
      <w:proofErr w:type="spellStart"/>
      <w:r w:rsidR="008C3AE9">
        <w:t>coef</w:t>
      </w:r>
      <w:proofErr w:type="spellEnd"/>
      <w:r w:rsidR="008C3AE9">
        <w:t xml:space="preserve">) </w:t>
      </w:r>
      <w:proofErr w:type="spellStart"/>
      <w:r w:rsidR="008C3AE9">
        <w:t>noaster</w:t>
      </w:r>
      <w:proofErr w:type="spellEnd"/>
      <w:r w:rsidR="008C3AE9">
        <w:tab/>
      </w:r>
      <w:r w:rsidR="008C3AE9">
        <w:tab/>
      </w:r>
    </w:p>
    <w:p w14:paraId="7007D959" w14:textId="07852359" w:rsidR="008C3AE9" w:rsidRDefault="006B7233" w:rsidP="008C3AE9">
      <w:r>
        <w:t>}}}}}}</w:t>
      </w:r>
      <w:r w:rsidR="008C3AE9">
        <w:tab/>
      </w:r>
      <w:r w:rsidR="008C3AE9">
        <w:tab/>
      </w:r>
      <w:r w:rsidR="008C3AE9">
        <w:tab/>
      </w:r>
      <w:r w:rsidR="008C3AE9">
        <w:tab/>
      </w:r>
      <w:r w:rsidR="008C3AE9">
        <w:tab/>
      </w:r>
      <w:r w:rsidR="008C3AE9">
        <w:tab/>
      </w:r>
      <w:r w:rsidR="008C3AE9">
        <w:tab/>
      </w:r>
      <w:r w:rsidR="008C3AE9">
        <w:tab/>
      </w:r>
      <w:r w:rsidR="008C3AE9">
        <w:tab/>
      </w:r>
      <w:r w:rsidR="008C3AE9">
        <w:tab/>
      </w:r>
      <w:r w:rsidR="008C3AE9">
        <w:tab/>
      </w:r>
      <w:r w:rsidR="008C3AE9">
        <w:tab/>
      </w:r>
    </w:p>
    <w:p w14:paraId="16F22FB8" w14:textId="08C4F56D" w:rsidR="008C3AE9" w:rsidRDefault="008C3AE9" w:rsidP="008C3AE9">
      <w:r>
        <w:tab/>
      </w:r>
      <w:r>
        <w:tab/>
      </w:r>
      <w:r>
        <w:tab/>
      </w:r>
      <w:r>
        <w:tab/>
      </w:r>
      <w:r>
        <w:tab/>
      </w:r>
      <w:r>
        <w:tab/>
      </w:r>
      <w:r>
        <w:tab/>
      </w:r>
      <w:r>
        <w:tab/>
      </w:r>
      <w:r>
        <w:tab/>
      </w:r>
      <w:r>
        <w:tab/>
      </w:r>
      <w:r>
        <w:tab/>
      </w:r>
      <w:r>
        <w:tab/>
      </w:r>
      <w:r>
        <w:tab/>
      </w:r>
    </w:p>
    <w:p w14:paraId="0307ED05" w14:textId="0A648699" w:rsidR="000D2B1D" w:rsidRPr="000D2B1D" w:rsidRDefault="006B7233" w:rsidP="000D2B1D">
      <w:pPr>
        <w:pStyle w:val="Heading1"/>
        <w:jc w:val="both"/>
        <w:rPr>
          <w:color w:val="auto"/>
        </w:rPr>
      </w:pPr>
      <w:bookmarkStart w:id="5" w:name="_Toc439262134"/>
      <w:r>
        <w:rPr>
          <w:color w:val="auto"/>
        </w:rPr>
        <w:lastRenderedPageBreak/>
        <w:t>B</w:t>
      </w:r>
      <w:r w:rsidR="000D2B1D" w:rsidRPr="000D2B1D">
        <w:rPr>
          <w:color w:val="auto"/>
        </w:rPr>
        <w:t>IBLIOGRAPHY</w:t>
      </w:r>
      <w:bookmarkEnd w:id="5"/>
    </w:p>
    <w:p w14:paraId="621C9D99" w14:textId="77777777" w:rsidR="000D2B1D" w:rsidRDefault="000D2B1D" w:rsidP="000D2B1D">
      <w:pPr>
        <w:jc w:val="both"/>
      </w:pPr>
    </w:p>
    <w:p w14:paraId="7ED6ED0B" w14:textId="77777777" w:rsidR="00263223" w:rsidRPr="00263223" w:rsidRDefault="000D2B1D" w:rsidP="00263223">
      <w:pPr>
        <w:ind w:left="720" w:hanging="720"/>
        <w:jc w:val="both"/>
        <w:rPr>
          <w:rFonts w:ascii="Calibri" w:hAnsi="Calibri"/>
          <w:noProof/>
        </w:rPr>
      </w:pPr>
      <w:r>
        <w:fldChar w:fldCharType="begin"/>
      </w:r>
      <w:r>
        <w:instrText xml:space="preserve"> ADDIN EN.REFLIST </w:instrText>
      </w:r>
      <w:r>
        <w:fldChar w:fldCharType="separate"/>
      </w:r>
      <w:bookmarkStart w:id="6" w:name="_ENREF_1"/>
      <w:r w:rsidR="00263223" w:rsidRPr="00263223">
        <w:rPr>
          <w:rFonts w:ascii="Calibri" w:hAnsi="Calibri"/>
          <w:noProof/>
        </w:rPr>
        <w:t>1. Institute for Health Metrics and Evaluation (IHME) (2013) IHME - Accelarating global health progress through sound measurement and accountable science. Seattle, WA.</w:t>
      </w:r>
      <w:bookmarkEnd w:id="6"/>
    </w:p>
    <w:p w14:paraId="1650B682" w14:textId="77777777" w:rsidR="00263223" w:rsidRPr="00263223" w:rsidRDefault="00263223" w:rsidP="00263223">
      <w:pPr>
        <w:ind w:left="720" w:hanging="720"/>
        <w:jc w:val="both"/>
        <w:rPr>
          <w:rFonts w:ascii="Calibri" w:hAnsi="Calibri"/>
          <w:noProof/>
        </w:rPr>
      </w:pPr>
      <w:bookmarkStart w:id="7" w:name="_ENREF_2"/>
      <w:r w:rsidRPr="00263223">
        <w:rPr>
          <w:rFonts w:ascii="Calibri" w:hAnsi="Calibri"/>
          <w:noProof/>
        </w:rPr>
        <w:t>2. World Health Organization (WHO) (2013) Global Health Expenditure Database: National Health Accounts (NHA).</w:t>
      </w:r>
      <w:bookmarkEnd w:id="7"/>
    </w:p>
    <w:p w14:paraId="31766847" w14:textId="77777777" w:rsidR="00263223" w:rsidRPr="00263223" w:rsidRDefault="00263223" w:rsidP="00263223">
      <w:pPr>
        <w:ind w:left="720" w:hanging="720"/>
        <w:jc w:val="both"/>
        <w:rPr>
          <w:rFonts w:ascii="Calibri" w:hAnsi="Calibri"/>
          <w:noProof/>
        </w:rPr>
      </w:pPr>
      <w:bookmarkStart w:id="8" w:name="_ENREF_3"/>
      <w:r w:rsidRPr="00263223">
        <w:rPr>
          <w:rFonts w:ascii="Calibri" w:hAnsi="Calibri"/>
          <w:noProof/>
        </w:rPr>
        <w:t>3. United Nations (UN) Statistics Division (2013) UN Data: A World of Information.</w:t>
      </w:r>
      <w:bookmarkEnd w:id="8"/>
    </w:p>
    <w:p w14:paraId="268B3779" w14:textId="77777777" w:rsidR="00263223" w:rsidRPr="00263223" w:rsidRDefault="00263223" w:rsidP="00263223">
      <w:pPr>
        <w:ind w:left="720" w:hanging="720"/>
        <w:jc w:val="both"/>
        <w:rPr>
          <w:rFonts w:ascii="Calibri" w:hAnsi="Calibri"/>
          <w:noProof/>
        </w:rPr>
      </w:pPr>
      <w:bookmarkStart w:id="9" w:name="_ENREF_4"/>
      <w:r w:rsidRPr="00263223">
        <w:rPr>
          <w:rFonts w:ascii="Calibri" w:hAnsi="Calibri"/>
          <w:noProof/>
        </w:rPr>
        <w:t>4. United Nations (UN) (2013) International Human Development Indicators.</w:t>
      </w:r>
      <w:bookmarkEnd w:id="9"/>
    </w:p>
    <w:p w14:paraId="45DBE1F7" w14:textId="77777777" w:rsidR="00263223" w:rsidRPr="00263223" w:rsidRDefault="00263223" w:rsidP="00263223">
      <w:pPr>
        <w:ind w:left="720" w:hanging="720"/>
        <w:jc w:val="both"/>
        <w:rPr>
          <w:rFonts w:ascii="Calibri" w:hAnsi="Calibri"/>
          <w:noProof/>
        </w:rPr>
      </w:pPr>
      <w:bookmarkStart w:id="10" w:name="_ENREF_5"/>
      <w:r w:rsidRPr="00263223">
        <w:rPr>
          <w:rFonts w:ascii="Calibri" w:hAnsi="Calibri"/>
          <w:noProof/>
        </w:rPr>
        <w:t>5. Childinfo United Nations Children's Fund (UNICEF) (2013) Monitoring the Situation of Children and Women. pp. Data on the situation of children and women is collected through the Multiple Indicator Cluster Survey (MICS) programme.</w:t>
      </w:r>
      <w:bookmarkEnd w:id="10"/>
    </w:p>
    <w:p w14:paraId="1F78A5BC" w14:textId="77777777" w:rsidR="00263223" w:rsidRPr="00263223" w:rsidRDefault="00263223" w:rsidP="00263223">
      <w:pPr>
        <w:ind w:left="720" w:hanging="720"/>
        <w:jc w:val="both"/>
        <w:rPr>
          <w:rFonts w:ascii="Calibri" w:hAnsi="Calibri"/>
          <w:noProof/>
        </w:rPr>
      </w:pPr>
      <w:bookmarkStart w:id="11" w:name="_ENREF_6"/>
      <w:r w:rsidRPr="00263223">
        <w:rPr>
          <w:rFonts w:ascii="Calibri" w:hAnsi="Calibri"/>
          <w:noProof/>
        </w:rPr>
        <w:t>6. World Bank Group (2013) World Bank Data: World Development Indicators.</w:t>
      </w:r>
      <w:bookmarkEnd w:id="11"/>
    </w:p>
    <w:p w14:paraId="727AF170" w14:textId="77777777" w:rsidR="00263223" w:rsidRPr="00263223" w:rsidRDefault="00263223" w:rsidP="00263223">
      <w:pPr>
        <w:ind w:left="720" w:hanging="720"/>
        <w:jc w:val="both"/>
        <w:rPr>
          <w:rFonts w:ascii="Calibri" w:hAnsi="Calibri"/>
          <w:noProof/>
        </w:rPr>
      </w:pPr>
      <w:bookmarkStart w:id="12" w:name="_ENREF_7"/>
      <w:r w:rsidRPr="00263223">
        <w:rPr>
          <w:rFonts w:ascii="Calibri" w:hAnsi="Calibri"/>
          <w:noProof/>
        </w:rPr>
        <w:t>7. Measure Demographic and Health Surveys (DHS), USAID From the American People (2013) STAT Compiler Building Tables with DHS Data.</w:t>
      </w:r>
      <w:bookmarkEnd w:id="12"/>
    </w:p>
    <w:p w14:paraId="718D5536" w14:textId="77777777" w:rsidR="00263223" w:rsidRPr="00263223" w:rsidRDefault="00263223" w:rsidP="00263223">
      <w:pPr>
        <w:ind w:left="720" w:hanging="720"/>
        <w:jc w:val="both"/>
        <w:rPr>
          <w:rFonts w:ascii="Calibri" w:hAnsi="Calibri"/>
          <w:noProof/>
        </w:rPr>
      </w:pPr>
      <w:bookmarkStart w:id="13" w:name="_ENREF_8"/>
      <w:r w:rsidRPr="00263223">
        <w:rPr>
          <w:rFonts w:ascii="Calibri" w:hAnsi="Calibri"/>
          <w:noProof/>
        </w:rPr>
        <w:t xml:space="preserve">8. The World Bank (2001) World Development Report 2002: Building Institutions for Markets. USA  World Bank; Oxford University Press </w:t>
      </w:r>
      <w:bookmarkEnd w:id="13"/>
    </w:p>
    <w:p w14:paraId="560AFED0" w14:textId="77777777" w:rsidR="00263223" w:rsidRDefault="00263223" w:rsidP="00263223">
      <w:pPr>
        <w:ind w:left="720" w:hanging="720"/>
        <w:jc w:val="both"/>
        <w:rPr>
          <w:rFonts w:ascii="Calibri" w:hAnsi="Calibri"/>
          <w:noProof/>
        </w:rPr>
      </w:pPr>
      <w:bookmarkStart w:id="14" w:name="_ENREF_9"/>
      <w:r w:rsidRPr="00263223">
        <w:rPr>
          <w:rFonts w:ascii="Calibri" w:hAnsi="Calibri"/>
          <w:noProof/>
        </w:rPr>
        <w:t xml:space="preserve">9. United Nations (UN) Statistics Division (2012) Composition of Macro Geographical (Continental) Regions, Geographical Sub-Regions, and Selected Economic and Other Groupings </w:t>
      </w:r>
      <w:bookmarkEnd w:id="14"/>
    </w:p>
    <w:p w14:paraId="2800788C" w14:textId="57053838" w:rsidR="00E0311F" w:rsidRPr="00263223" w:rsidRDefault="00E0311F" w:rsidP="00263223">
      <w:pPr>
        <w:ind w:left="720" w:hanging="720"/>
        <w:jc w:val="both"/>
        <w:rPr>
          <w:rFonts w:ascii="Calibri" w:hAnsi="Calibri"/>
          <w:noProof/>
        </w:rPr>
      </w:pPr>
      <w:r>
        <w:rPr>
          <w:rFonts w:ascii="Calibri" w:hAnsi="Calibri"/>
          <w:noProof/>
        </w:rPr>
        <w:t xml:space="preserve">10. </w:t>
      </w:r>
      <w:r w:rsidR="002D15DE">
        <w:rPr>
          <w:rFonts w:ascii="Calibri" w:hAnsi="Calibri"/>
          <w:noProof/>
        </w:rPr>
        <w:t>UNICEF, WHO, World Bank, UN DESA Population Division</w:t>
      </w:r>
      <w:r>
        <w:rPr>
          <w:rFonts w:ascii="Calibri" w:hAnsi="Calibri"/>
          <w:noProof/>
        </w:rPr>
        <w:t xml:space="preserve">. </w:t>
      </w:r>
      <w:r w:rsidR="002D15DE">
        <w:rPr>
          <w:rFonts w:ascii="Calibri" w:hAnsi="Calibri"/>
          <w:noProof/>
        </w:rPr>
        <w:t xml:space="preserve">UN Inter-agency Group for Child Mortality estimation. </w:t>
      </w:r>
      <w:r>
        <w:rPr>
          <w:rFonts w:ascii="Calibri" w:hAnsi="Calibri"/>
          <w:noProof/>
        </w:rPr>
        <w:t xml:space="preserve"> www.childmortality.org</w:t>
      </w:r>
    </w:p>
    <w:p w14:paraId="7EDE57B0" w14:textId="39799AFB" w:rsidR="00263223" w:rsidRDefault="00263223" w:rsidP="00263223">
      <w:pPr>
        <w:ind w:left="720" w:hanging="720"/>
        <w:jc w:val="both"/>
        <w:rPr>
          <w:rFonts w:ascii="Calibri" w:hAnsi="Calibri"/>
          <w:noProof/>
        </w:rPr>
      </w:pPr>
      <w:bookmarkStart w:id="15" w:name="_ENREF_10"/>
      <w:r w:rsidRPr="00263223">
        <w:rPr>
          <w:rFonts w:ascii="Calibri" w:hAnsi="Calibri"/>
          <w:noProof/>
        </w:rPr>
        <w:t>1</w:t>
      </w:r>
      <w:r w:rsidR="002D15DE">
        <w:rPr>
          <w:rFonts w:ascii="Calibri" w:hAnsi="Calibri"/>
          <w:noProof/>
        </w:rPr>
        <w:t>1</w:t>
      </w:r>
      <w:r w:rsidRPr="00263223">
        <w:rPr>
          <w:rFonts w:ascii="Calibri" w:hAnsi="Calibri"/>
          <w:noProof/>
        </w:rPr>
        <w:t>. Rajaratnam JK, Marcus JR, Flaxman AD, Wang H, Levin-Rector A, et al. (2010) Neonatal, postneonatal, childhood, and under-5 mortality for 187 countries, 1970-2010: a systematic analysis of progress towards Millennium Development Goal 4. The Lancet 375: 1988-2008.</w:t>
      </w:r>
      <w:bookmarkEnd w:id="15"/>
    </w:p>
    <w:p w14:paraId="5C683947" w14:textId="10834084" w:rsidR="002D15DE" w:rsidRPr="00263223" w:rsidRDefault="002D15DE" w:rsidP="00263223">
      <w:pPr>
        <w:ind w:left="720" w:hanging="720"/>
        <w:jc w:val="both"/>
        <w:rPr>
          <w:rFonts w:ascii="Calibri" w:hAnsi="Calibri"/>
          <w:noProof/>
        </w:rPr>
      </w:pPr>
      <w:r>
        <w:rPr>
          <w:rFonts w:ascii="Calibri" w:hAnsi="Calibri"/>
          <w:noProof/>
        </w:rPr>
        <w:t xml:space="preserve">12. </w:t>
      </w:r>
      <w:r w:rsidRPr="002D15DE">
        <w:rPr>
          <w:rFonts w:cs="Arial"/>
          <w:color w:val="222222"/>
          <w:shd w:val="clear" w:color="auto" w:fill="FFFFFF"/>
        </w:rPr>
        <w:t>WHO, UNICEF, UNFPA, The World Bank, and the United Nations Population Division. Trends in Maternal Mortality: 1990 to 2013. Geneva, World Health Organization, 2014</w:t>
      </w:r>
    </w:p>
    <w:p w14:paraId="32D6EAE2" w14:textId="384698EA" w:rsidR="00263223" w:rsidRPr="00263223" w:rsidRDefault="002D15DE" w:rsidP="00263223">
      <w:pPr>
        <w:ind w:left="720" w:hanging="720"/>
        <w:jc w:val="both"/>
        <w:rPr>
          <w:rFonts w:ascii="Calibri" w:hAnsi="Calibri"/>
          <w:noProof/>
        </w:rPr>
      </w:pPr>
      <w:bookmarkStart w:id="16" w:name="_ENREF_11"/>
      <w:r>
        <w:rPr>
          <w:rFonts w:ascii="Calibri" w:hAnsi="Calibri"/>
          <w:noProof/>
        </w:rPr>
        <w:t>13</w:t>
      </w:r>
      <w:r w:rsidR="00263223" w:rsidRPr="00263223">
        <w:rPr>
          <w:rFonts w:ascii="Calibri" w:hAnsi="Calibri"/>
          <w:noProof/>
        </w:rPr>
        <w:t>. Sachs J (2005) Investing in Development: A Practical Plan to Achieve the Millennium Development Goals. New York: United Nations Development Programme.</w:t>
      </w:r>
      <w:bookmarkEnd w:id="16"/>
    </w:p>
    <w:p w14:paraId="79FDA1F6" w14:textId="4EDCA628" w:rsidR="00263223" w:rsidRPr="00263223" w:rsidRDefault="00263223" w:rsidP="00263223">
      <w:pPr>
        <w:ind w:left="720" w:hanging="720"/>
        <w:jc w:val="both"/>
        <w:rPr>
          <w:rFonts w:ascii="Calibri" w:hAnsi="Calibri"/>
          <w:noProof/>
        </w:rPr>
      </w:pPr>
      <w:bookmarkStart w:id="17" w:name="_ENREF_12"/>
      <w:r w:rsidRPr="00263223">
        <w:rPr>
          <w:rFonts w:ascii="Calibri" w:hAnsi="Calibri"/>
          <w:noProof/>
        </w:rPr>
        <w:t>1</w:t>
      </w:r>
      <w:r w:rsidR="002D15DE">
        <w:rPr>
          <w:rFonts w:ascii="Calibri" w:hAnsi="Calibri"/>
          <w:noProof/>
        </w:rPr>
        <w:t>4</w:t>
      </w:r>
      <w:r w:rsidRPr="00263223">
        <w:rPr>
          <w:rFonts w:ascii="Calibri" w:hAnsi="Calibri"/>
          <w:noProof/>
        </w:rPr>
        <w:t>. World Health Organization (WHO) (2007) Everybody Business: Strengthening Health Systems to Improve Health Outcomes: Who’s Framework for Action. Geneva, Switzerland.</w:t>
      </w:r>
      <w:bookmarkEnd w:id="17"/>
    </w:p>
    <w:p w14:paraId="46CDE7FF" w14:textId="77777777" w:rsidR="00263223" w:rsidRDefault="00263223" w:rsidP="00263223">
      <w:pPr>
        <w:jc w:val="both"/>
        <w:rPr>
          <w:rFonts w:ascii="Calibri" w:hAnsi="Calibri"/>
          <w:noProof/>
        </w:rPr>
      </w:pPr>
    </w:p>
    <w:p w14:paraId="644A0451" w14:textId="46604DAC" w:rsidR="000D2B1D" w:rsidRDefault="000D2B1D" w:rsidP="000D2B1D">
      <w:pPr>
        <w:ind w:left="720" w:hanging="720"/>
        <w:jc w:val="both"/>
      </w:pPr>
      <w:r>
        <w:fldChar w:fldCharType="end"/>
      </w:r>
    </w:p>
    <w:sectPr w:rsidR="000D2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ED63" w14:textId="77777777" w:rsidR="00525C1E" w:rsidRDefault="00525C1E" w:rsidP="00F61953">
      <w:r>
        <w:separator/>
      </w:r>
    </w:p>
  </w:endnote>
  <w:endnote w:type="continuationSeparator" w:id="0">
    <w:p w14:paraId="49EE3529" w14:textId="77777777" w:rsidR="00525C1E" w:rsidRDefault="00525C1E" w:rsidP="00F6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09812"/>
      <w:docPartObj>
        <w:docPartGallery w:val="Page Numbers (Bottom of Page)"/>
        <w:docPartUnique/>
      </w:docPartObj>
    </w:sdtPr>
    <w:sdtEndPr>
      <w:rPr>
        <w:noProof/>
      </w:rPr>
    </w:sdtEndPr>
    <w:sdtContent>
      <w:p w14:paraId="09BBD90A" w14:textId="45360F14" w:rsidR="000C449C" w:rsidRDefault="000C449C">
        <w:pPr>
          <w:pStyle w:val="Footer"/>
          <w:jc w:val="right"/>
        </w:pPr>
        <w:r>
          <w:fldChar w:fldCharType="begin"/>
        </w:r>
        <w:r>
          <w:instrText xml:space="preserve"> PAGE   \* MERGEFORMAT </w:instrText>
        </w:r>
        <w:r>
          <w:fldChar w:fldCharType="separate"/>
        </w:r>
        <w:r w:rsidR="00F65909">
          <w:rPr>
            <w:noProof/>
          </w:rPr>
          <w:t>9</w:t>
        </w:r>
        <w:r>
          <w:rPr>
            <w:noProof/>
          </w:rPr>
          <w:fldChar w:fldCharType="end"/>
        </w:r>
      </w:p>
    </w:sdtContent>
  </w:sdt>
  <w:p w14:paraId="20353973" w14:textId="77777777" w:rsidR="000C449C" w:rsidRDefault="000C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338A7" w14:textId="77777777" w:rsidR="00525C1E" w:rsidRDefault="00525C1E" w:rsidP="00F61953">
      <w:r>
        <w:separator/>
      </w:r>
    </w:p>
  </w:footnote>
  <w:footnote w:type="continuationSeparator" w:id="0">
    <w:p w14:paraId="557FDEE4" w14:textId="77777777" w:rsidR="00525C1E" w:rsidRDefault="00525C1E" w:rsidP="00F61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aa05tf7s502vefz2kvfd0izap5erafd0sa&quot;&gt;EndNote ALL&lt;record-ids&gt;&lt;item&gt;127&lt;/item&gt;&lt;item&gt;132&lt;/item&gt;&lt;item&gt;135&lt;/item&gt;&lt;item&gt;136&lt;/item&gt;&lt;item&gt;137&lt;/item&gt;&lt;item&gt;138&lt;/item&gt;&lt;item&gt;143&lt;/item&gt;&lt;item&gt;155&lt;/item&gt;&lt;item&gt;160&lt;/item&gt;&lt;item&gt;162&lt;/item&gt;&lt;item&gt;163&lt;/item&gt;&lt;item&gt;165&lt;/item&gt;&lt;item&gt;167&lt;/item&gt;&lt;item&gt;168&lt;/item&gt;&lt;item&gt;169&lt;/item&gt;&lt;item&gt;170&lt;/item&gt;&lt;item&gt;171&lt;/item&gt;&lt;item&gt;174&lt;/item&gt;&lt;item&gt;175&lt;/item&gt;&lt;item&gt;176&lt;/item&gt;&lt;item&gt;177&lt;/item&gt;&lt;item&gt;178&lt;/item&gt;&lt;item&gt;180&lt;/item&gt;&lt;item&gt;183&lt;/item&gt;&lt;item&gt;187&lt;/item&gt;&lt;item&gt;190&lt;/item&gt;&lt;item&gt;276&lt;/item&gt;&lt;item&gt;277&lt;/item&gt;&lt;item&gt;278&lt;/item&gt;&lt;item&gt;283&lt;/item&gt;&lt;/record-ids&gt;&lt;/item&gt;&lt;/Libraries&gt;"/>
  </w:docVars>
  <w:rsids>
    <w:rsidRoot w:val="00906944"/>
    <w:rsid w:val="000079B4"/>
    <w:rsid w:val="00027E7A"/>
    <w:rsid w:val="00040C2C"/>
    <w:rsid w:val="00096307"/>
    <w:rsid w:val="000B6C56"/>
    <w:rsid w:val="000C449C"/>
    <w:rsid w:val="000D2B1D"/>
    <w:rsid w:val="00110D6A"/>
    <w:rsid w:val="001511FB"/>
    <w:rsid w:val="00191F40"/>
    <w:rsid w:val="001B773B"/>
    <w:rsid w:val="00263223"/>
    <w:rsid w:val="002726C0"/>
    <w:rsid w:val="002B0734"/>
    <w:rsid w:val="002C39DC"/>
    <w:rsid w:val="002C6CAB"/>
    <w:rsid w:val="002D15DE"/>
    <w:rsid w:val="002F1833"/>
    <w:rsid w:val="002F7C91"/>
    <w:rsid w:val="0031743B"/>
    <w:rsid w:val="003175AE"/>
    <w:rsid w:val="00320D64"/>
    <w:rsid w:val="0033006B"/>
    <w:rsid w:val="00385878"/>
    <w:rsid w:val="0039541D"/>
    <w:rsid w:val="00467E8A"/>
    <w:rsid w:val="00491CD3"/>
    <w:rsid w:val="004A2228"/>
    <w:rsid w:val="004E0EBF"/>
    <w:rsid w:val="00512175"/>
    <w:rsid w:val="00514A1A"/>
    <w:rsid w:val="00523942"/>
    <w:rsid w:val="00525C1E"/>
    <w:rsid w:val="00542CC1"/>
    <w:rsid w:val="005731E3"/>
    <w:rsid w:val="006151D7"/>
    <w:rsid w:val="00640783"/>
    <w:rsid w:val="00643ED9"/>
    <w:rsid w:val="00650BAE"/>
    <w:rsid w:val="00672659"/>
    <w:rsid w:val="006905E5"/>
    <w:rsid w:val="006B12CB"/>
    <w:rsid w:val="006B317D"/>
    <w:rsid w:val="006B7233"/>
    <w:rsid w:val="006C017E"/>
    <w:rsid w:val="006C377A"/>
    <w:rsid w:val="006C4F84"/>
    <w:rsid w:val="006F144F"/>
    <w:rsid w:val="0070418D"/>
    <w:rsid w:val="007055DA"/>
    <w:rsid w:val="0071493E"/>
    <w:rsid w:val="00734601"/>
    <w:rsid w:val="00744D0D"/>
    <w:rsid w:val="00750ED4"/>
    <w:rsid w:val="00763D48"/>
    <w:rsid w:val="007A315A"/>
    <w:rsid w:val="007A3597"/>
    <w:rsid w:val="007A53F4"/>
    <w:rsid w:val="007F6CA5"/>
    <w:rsid w:val="0084043E"/>
    <w:rsid w:val="008702EF"/>
    <w:rsid w:val="00884729"/>
    <w:rsid w:val="008A340C"/>
    <w:rsid w:val="008C3085"/>
    <w:rsid w:val="008C3AE9"/>
    <w:rsid w:val="00906944"/>
    <w:rsid w:val="00943EE9"/>
    <w:rsid w:val="00971E41"/>
    <w:rsid w:val="00990E9A"/>
    <w:rsid w:val="00A46F96"/>
    <w:rsid w:val="00A81313"/>
    <w:rsid w:val="00A97D58"/>
    <w:rsid w:val="00AC5C8C"/>
    <w:rsid w:val="00AC6E23"/>
    <w:rsid w:val="00AE0D86"/>
    <w:rsid w:val="00B2093C"/>
    <w:rsid w:val="00B33A35"/>
    <w:rsid w:val="00B35BC8"/>
    <w:rsid w:val="00B46CBB"/>
    <w:rsid w:val="00B74DE9"/>
    <w:rsid w:val="00C420B1"/>
    <w:rsid w:val="00CE0EA0"/>
    <w:rsid w:val="00CF4FA2"/>
    <w:rsid w:val="00D81B57"/>
    <w:rsid w:val="00DA0DCC"/>
    <w:rsid w:val="00DE534D"/>
    <w:rsid w:val="00E0311F"/>
    <w:rsid w:val="00E54A94"/>
    <w:rsid w:val="00E57F19"/>
    <w:rsid w:val="00E707C8"/>
    <w:rsid w:val="00E81562"/>
    <w:rsid w:val="00E83667"/>
    <w:rsid w:val="00EC42AE"/>
    <w:rsid w:val="00EE1B0C"/>
    <w:rsid w:val="00F25E5C"/>
    <w:rsid w:val="00F30679"/>
    <w:rsid w:val="00F356CB"/>
    <w:rsid w:val="00F45B5A"/>
    <w:rsid w:val="00F61953"/>
    <w:rsid w:val="00F65909"/>
    <w:rsid w:val="00FF0E32"/>
    <w:rsid w:val="00FF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44"/>
    <w:pPr>
      <w:spacing w:after="0" w:line="240" w:lineRule="auto"/>
    </w:pPr>
  </w:style>
  <w:style w:type="paragraph" w:styleId="Heading1">
    <w:name w:val="heading 1"/>
    <w:basedOn w:val="Normal"/>
    <w:next w:val="Normal"/>
    <w:link w:val="Heading1Char"/>
    <w:uiPriority w:val="9"/>
    <w:qFormat/>
    <w:rsid w:val="00906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944"/>
    <w:rPr>
      <w:rFonts w:ascii="Tahoma" w:hAnsi="Tahoma" w:cs="Tahoma"/>
      <w:sz w:val="16"/>
      <w:szCs w:val="16"/>
    </w:rPr>
  </w:style>
  <w:style w:type="character" w:customStyle="1" w:styleId="BalloonTextChar">
    <w:name w:val="Balloon Text Char"/>
    <w:basedOn w:val="DefaultParagraphFont"/>
    <w:link w:val="BalloonText"/>
    <w:uiPriority w:val="99"/>
    <w:semiHidden/>
    <w:rsid w:val="00906944"/>
    <w:rPr>
      <w:rFonts w:ascii="Tahoma" w:hAnsi="Tahoma" w:cs="Tahoma"/>
      <w:sz w:val="16"/>
      <w:szCs w:val="16"/>
    </w:rPr>
  </w:style>
  <w:style w:type="character" w:customStyle="1" w:styleId="Heading1Char">
    <w:name w:val="Heading 1 Char"/>
    <w:basedOn w:val="DefaultParagraphFont"/>
    <w:link w:val="Heading1"/>
    <w:uiPriority w:val="9"/>
    <w:rsid w:val="009069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06944"/>
    <w:pPr>
      <w:spacing w:line="276" w:lineRule="auto"/>
      <w:outlineLvl w:val="9"/>
    </w:pPr>
    <w:rPr>
      <w:lang w:eastAsia="ja-JP"/>
    </w:rPr>
  </w:style>
  <w:style w:type="paragraph" w:styleId="TOC1">
    <w:name w:val="toc 1"/>
    <w:basedOn w:val="Normal"/>
    <w:next w:val="Normal"/>
    <w:autoRedefine/>
    <w:uiPriority w:val="39"/>
    <w:unhideWhenUsed/>
    <w:rsid w:val="002F7C91"/>
    <w:pPr>
      <w:spacing w:after="100"/>
    </w:pPr>
  </w:style>
  <w:style w:type="character" w:styleId="Hyperlink">
    <w:name w:val="Hyperlink"/>
    <w:basedOn w:val="DefaultParagraphFont"/>
    <w:uiPriority w:val="99"/>
    <w:unhideWhenUsed/>
    <w:rsid w:val="002F7C91"/>
    <w:rPr>
      <w:color w:val="0000FF" w:themeColor="hyperlink"/>
      <w:u w:val="single"/>
    </w:rPr>
  </w:style>
  <w:style w:type="character" w:customStyle="1" w:styleId="Heading2Char">
    <w:name w:val="Heading 2 Char"/>
    <w:basedOn w:val="DefaultParagraphFont"/>
    <w:link w:val="Heading2"/>
    <w:uiPriority w:val="9"/>
    <w:semiHidden/>
    <w:rsid w:val="00027E7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91CD3"/>
    <w:rPr>
      <w:sz w:val="16"/>
      <w:szCs w:val="16"/>
    </w:rPr>
  </w:style>
  <w:style w:type="paragraph" w:styleId="CommentText">
    <w:name w:val="annotation text"/>
    <w:basedOn w:val="Normal"/>
    <w:link w:val="CommentTextChar"/>
    <w:uiPriority w:val="99"/>
    <w:semiHidden/>
    <w:unhideWhenUsed/>
    <w:rsid w:val="00491CD3"/>
    <w:rPr>
      <w:sz w:val="20"/>
      <w:szCs w:val="20"/>
    </w:rPr>
  </w:style>
  <w:style w:type="character" w:customStyle="1" w:styleId="CommentTextChar">
    <w:name w:val="Comment Text Char"/>
    <w:basedOn w:val="DefaultParagraphFont"/>
    <w:link w:val="CommentText"/>
    <w:uiPriority w:val="99"/>
    <w:semiHidden/>
    <w:rsid w:val="00491CD3"/>
    <w:rPr>
      <w:sz w:val="20"/>
      <w:szCs w:val="20"/>
    </w:rPr>
  </w:style>
  <w:style w:type="paragraph" w:styleId="CommentSubject">
    <w:name w:val="annotation subject"/>
    <w:basedOn w:val="CommentText"/>
    <w:next w:val="CommentText"/>
    <w:link w:val="CommentSubjectChar"/>
    <w:uiPriority w:val="99"/>
    <w:semiHidden/>
    <w:unhideWhenUsed/>
    <w:rsid w:val="00EC42AE"/>
    <w:rPr>
      <w:b/>
      <w:bCs/>
    </w:rPr>
  </w:style>
  <w:style w:type="character" w:customStyle="1" w:styleId="CommentSubjectChar">
    <w:name w:val="Comment Subject Char"/>
    <w:basedOn w:val="CommentTextChar"/>
    <w:link w:val="CommentSubject"/>
    <w:uiPriority w:val="99"/>
    <w:semiHidden/>
    <w:rsid w:val="00EC42AE"/>
    <w:rPr>
      <w:b/>
      <w:bCs/>
      <w:sz w:val="20"/>
      <w:szCs w:val="20"/>
    </w:rPr>
  </w:style>
  <w:style w:type="character" w:customStyle="1" w:styleId="apple-converted-space">
    <w:name w:val="apple-converted-space"/>
    <w:basedOn w:val="DefaultParagraphFont"/>
    <w:rsid w:val="00AC5C8C"/>
  </w:style>
  <w:style w:type="table" w:styleId="TableGrid">
    <w:name w:val="Table Grid"/>
    <w:basedOn w:val="TableNormal"/>
    <w:uiPriority w:val="59"/>
    <w:rsid w:val="0097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953"/>
    <w:pPr>
      <w:tabs>
        <w:tab w:val="center" w:pos="4680"/>
        <w:tab w:val="right" w:pos="9360"/>
      </w:tabs>
    </w:pPr>
  </w:style>
  <w:style w:type="character" w:customStyle="1" w:styleId="HeaderChar">
    <w:name w:val="Header Char"/>
    <w:basedOn w:val="DefaultParagraphFont"/>
    <w:link w:val="Header"/>
    <w:uiPriority w:val="99"/>
    <w:rsid w:val="00F61953"/>
  </w:style>
  <w:style w:type="paragraph" w:styleId="Footer">
    <w:name w:val="footer"/>
    <w:basedOn w:val="Normal"/>
    <w:link w:val="FooterChar"/>
    <w:uiPriority w:val="99"/>
    <w:unhideWhenUsed/>
    <w:rsid w:val="00F61953"/>
    <w:pPr>
      <w:tabs>
        <w:tab w:val="center" w:pos="4680"/>
        <w:tab w:val="right" w:pos="9360"/>
      </w:tabs>
    </w:pPr>
  </w:style>
  <w:style w:type="character" w:customStyle="1" w:styleId="FooterChar">
    <w:name w:val="Footer Char"/>
    <w:basedOn w:val="DefaultParagraphFont"/>
    <w:link w:val="Footer"/>
    <w:uiPriority w:val="99"/>
    <w:rsid w:val="00F61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44"/>
    <w:pPr>
      <w:spacing w:after="0" w:line="240" w:lineRule="auto"/>
    </w:pPr>
  </w:style>
  <w:style w:type="paragraph" w:styleId="Heading1">
    <w:name w:val="heading 1"/>
    <w:basedOn w:val="Normal"/>
    <w:next w:val="Normal"/>
    <w:link w:val="Heading1Char"/>
    <w:uiPriority w:val="9"/>
    <w:qFormat/>
    <w:rsid w:val="00906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E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944"/>
    <w:rPr>
      <w:rFonts w:ascii="Tahoma" w:hAnsi="Tahoma" w:cs="Tahoma"/>
      <w:sz w:val="16"/>
      <w:szCs w:val="16"/>
    </w:rPr>
  </w:style>
  <w:style w:type="character" w:customStyle="1" w:styleId="BalloonTextChar">
    <w:name w:val="Balloon Text Char"/>
    <w:basedOn w:val="DefaultParagraphFont"/>
    <w:link w:val="BalloonText"/>
    <w:uiPriority w:val="99"/>
    <w:semiHidden/>
    <w:rsid w:val="00906944"/>
    <w:rPr>
      <w:rFonts w:ascii="Tahoma" w:hAnsi="Tahoma" w:cs="Tahoma"/>
      <w:sz w:val="16"/>
      <w:szCs w:val="16"/>
    </w:rPr>
  </w:style>
  <w:style w:type="character" w:customStyle="1" w:styleId="Heading1Char">
    <w:name w:val="Heading 1 Char"/>
    <w:basedOn w:val="DefaultParagraphFont"/>
    <w:link w:val="Heading1"/>
    <w:uiPriority w:val="9"/>
    <w:rsid w:val="009069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06944"/>
    <w:pPr>
      <w:spacing w:line="276" w:lineRule="auto"/>
      <w:outlineLvl w:val="9"/>
    </w:pPr>
    <w:rPr>
      <w:lang w:eastAsia="ja-JP"/>
    </w:rPr>
  </w:style>
  <w:style w:type="paragraph" w:styleId="TOC1">
    <w:name w:val="toc 1"/>
    <w:basedOn w:val="Normal"/>
    <w:next w:val="Normal"/>
    <w:autoRedefine/>
    <w:uiPriority w:val="39"/>
    <w:unhideWhenUsed/>
    <w:rsid w:val="002F7C91"/>
    <w:pPr>
      <w:spacing w:after="100"/>
    </w:pPr>
  </w:style>
  <w:style w:type="character" w:styleId="Hyperlink">
    <w:name w:val="Hyperlink"/>
    <w:basedOn w:val="DefaultParagraphFont"/>
    <w:uiPriority w:val="99"/>
    <w:unhideWhenUsed/>
    <w:rsid w:val="002F7C91"/>
    <w:rPr>
      <w:color w:val="0000FF" w:themeColor="hyperlink"/>
      <w:u w:val="single"/>
    </w:rPr>
  </w:style>
  <w:style w:type="character" w:customStyle="1" w:styleId="Heading2Char">
    <w:name w:val="Heading 2 Char"/>
    <w:basedOn w:val="DefaultParagraphFont"/>
    <w:link w:val="Heading2"/>
    <w:uiPriority w:val="9"/>
    <w:semiHidden/>
    <w:rsid w:val="00027E7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91CD3"/>
    <w:rPr>
      <w:sz w:val="16"/>
      <w:szCs w:val="16"/>
    </w:rPr>
  </w:style>
  <w:style w:type="paragraph" w:styleId="CommentText">
    <w:name w:val="annotation text"/>
    <w:basedOn w:val="Normal"/>
    <w:link w:val="CommentTextChar"/>
    <w:uiPriority w:val="99"/>
    <w:semiHidden/>
    <w:unhideWhenUsed/>
    <w:rsid w:val="00491CD3"/>
    <w:rPr>
      <w:sz w:val="20"/>
      <w:szCs w:val="20"/>
    </w:rPr>
  </w:style>
  <w:style w:type="character" w:customStyle="1" w:styleId="CommentTextChar">
    <w:name w:val="Comment Text Char"/>
    <w:basedOn w:val="DefaultParagraphFont"/>
    <w:link w:val="CommentText"/>
    <w:uiPriority w:val="99"/>
    <w:semiHidden/>
    <w:rsid w:val="00491CD3"/>
    <w:rPr>
      <w:sz w:val="20"/>
      <w:szCs w:val="20"/>
    </w:rPr>
  </w:style>
  <w:style w:type="paragraph" w:styleId="CommentSubject">
    <w:name w:val="annotation subject"/>
    <w:basedOn w:val="CommentText"/>
    <w:next w:val="CommentText"/>
    <w:link w:val="CommentSubjectChar"/>
    <w:uiPriority w:val="99"/>
    <w:semiHidden/>
    <w:unhideWhenUsed/>
    <w:rsid w:val="00EC42AE"/>
    <w:rPr>
      <w:b/>
      <w:bCs/>
    </w:rPr>
  </w:style>
  <w:style w:type="character" w:customStyle="1" w:styleId="CommentSubjectChar">
    <w:name w:val="Comment Subject Char"/>
    <w:basedOn w:val="CommentTextChar"/>
    <w:link w:val="CommentSubject"/>
    <w:uiPriority w:val="99"/>
    <w:semiHidden/>
    <w:rsid w:val="00EC42AE"/>
    <w:rPr>
      <w:b/>
      <w:bCs/>
      <w:sz w:val="20"/>
      <w:szCs w:val="20"/>
    </w:rPr>
  </w:style>
  <w:style w:type="character" w:customStyle="1" w:styleId="apple-converted-space">
    <w:name w:val="apple-converted-space"/>
    <w:basedOn w:val="DefaultParagraphFont"/>
    <w:rsid w:val="00AC5C8C"/>
  </w:style>
  <w:style w:type="table" w:styleId="TableGrid">
    <w:name w:val="Table Grid"/>
    <w:basedOn w:val="TableNormal"/>
    <w:uiPriority w:val="59"/>
    <w:rsid w:val="0097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953"/>
    <w:pPr>
      <w:tabs>
        <w:tab w:val="center" w:pos="4680"/>
        <w:tab w:val="right" w:pos="9360"/>
      </w:tabs>
    </w:pPr>
  </w:style>
  <w:style w:type="character" w:customStyle="1" w:styleId="HeaderChar">
    <w:name w:val="Header Char"/>
    <w:basedOn w:val="DefaultParagraphFont"/>
    <w:link w:val="Header"/>
    <w:uiPriority w:val="99"/>
    <w:rsid w:val="00F61953"/>
  </w:style>
  <w:style w:type="paragraph" w:styleId="Footer">
    <w:name w:val="footer"/>
    <w:basedOn w:val="Normal"/>
    <w:link w:val="FooterChar"/>
    <w:uiPriority w:val="99"/>
    <w:unhideWhenUsed/>
    <w:rsid w:val="00F61953"/>
    <w:pPr>
      <w:tabs>
        <w:tab w:val="center" w:pos="4680"/>
        <w:tab w:val="right" w:pos="9360"/>
      </w:tabs>
    </w:pPr>
  </w:style>
  <w:style w:type="character" w:customStyle="1" w:styleId="FooterChar">
    <w:name w:val="Footer Char"/>
    <w:basedOn w:val="DefaultParagraphFont"/>
    <w:link w:val="Footer"/>
    <w:uiPriority w:val="99"/>
    <w:rsid w:val="00F6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9689">
      <w:bodyDiv w:val="1"/>
      <w:marLeft w:val="0"/>
      <w:marRight w:val="0"/>
      <w:marTop w:val="0"/>
      <w:marBottom w:val="0"/>
      <w:divBdr>
        <w:top w:val="none" w:sz="0" w:space="0" w:color="auto"/>
        <w:left w:val="none" w:sz="0" w:space="0" w:color="auto"/>
        <w:bottom w:val="none" w:sz="0" w:space="0" w:color="auto"/>
        <w:right w:val="none" w:sz="0" w:space="0" w:color="auto"/>
      </w:divBdr>
    </w:div>
    <w:div w:id="455031951">
      <w:bodyDiv w:val="1"/>
      <w:marLeft w:val="0"/>
      <w:marRight w:val="0"/>
      <w:marTop w:val="0"/>
      <w:marBottom w:val="0"/>
      <w:divBdr>
        <w:top w:val="none" w:sz="0" w:space="0" w:color="auto"/>
        <w:left w:val="none" w:sz="0" w:space="0" w:color="auto"/>
        <w:bottom w:val="none" w:sz="0" w:space="0" w:color="auto"/>
        <w:right w:val="none" w:sz="0" w:space="0" w:color="auto"/>
      </w:divBdr>
    </w:div>
    <w:div w:id="564411148">
      <w:bodyDiv w:val="1"/>
      <w:marLeft w:val="0"/>
      <w:marRight w:val="0"/>
      <w:marTop w:val="0"/>
      <w:marBottom w:val="0"/>
      <w:divBdr>
        <w:top w:val="none" w:sz="0" w:space="0" w:color="auto"/>
        <w:left w:val="none" w:sz="0" w:space="0" w:color="auto"/>
        <w:bottom w:val="none" w:sz="0" w:space="0" w:color="auto"/>
        <w:right w:val="none" w:sz="0" w:space="0" w:color="auto"/>
      </w:divBdr>
    </w:div>
    <w:div w:id="634288797">
      <w:bodyDiv w:val="1"/>
      <w:marLeft w:val="0"/>
      <w:marRight w:val="0"/>
      <w:marTop w:val="0"/>
      <w:marBottom w:val="0"/>
      <w:divBdr>
        <w:top w:val="none" w:sz="0" w:space="0" w:color="auto"/>
        <w:left w:val="none" w:sz="0" w:space="0" w:color="auto"/>
        <w:bottom w:val="none" w:sz="0" w:space="0" w:color="auto"/>
        <w:right w:val="none" w:sz="0" w:space="0" w:color="auto"/>
      </w:divBdr>
    </w:div>
    <w:div w:id="768545349">
      <w:bodyDiv w:val="1"/>
      <w:marLeft w:val="0"/>
      <w:marRight w:val="0"/>
      <w:marTop w:val="0"/>
      <w:marBottom w:val="0"/>
      <w:divBdr>
        <w:top w:val="none" w:sz="0" w:space="0" w:color="auto"/>
        <w:left w:val="none" w:sz="0" w:space="0" w:color="auto"/>
        <w:bottom w:val="none" w:sz="0" w:space="0" w:color="auto"/>
        <w:right w:val="none" w:sz="0" w:space="0" w:color="auto"/>
      </w:divBdr>
      <w:divsChild>
        <w:div w:id="1979260781">
          <w:marLeft w:val="0"/>
          <w:marRight w:val="0"/>
          <w:marTop w:val="0"/>
          <w:marBottom w:val="0"/>
          <w:divBdr>
            <w:top w:val="none" w:sz="0" w:space="0" w:color="auto"/>
            <w:left w:val="none" w:sz="0" w:space="0" w:color="auto"/>
            <w:bottom w:val="single" w:sz="8" w:space="1" w:color="auto"/>
            <w:right w:val="none" w:sz="0" w:space="0" w:color="auto"/>
          </w:divBdr>
        </w:div>
      </w:divsChild>
    </w:div>
    <w:div w:id="892736331">
      <w:bodyDiv w:val="1"/>
      <w:marLeft w:val="0"/>
      <w:marRight w:val="0"/>
      <w:marTop w:val="0"/>
      <w:marBottom w:val="0"/>
      <w:divBdr>
        <w:top w:val="none" w:sz="0" w:space="0" w:color="auto"/>
        <w:left w:val="none" w:sz="0" w:space="0" w:color="auto"/>
        <w:bottom w:val="none" w:sz="0" w:space="0" w:color="auto"/>
        <w:right w:val="none" w:sz="0" w:space="0" w:color="auto"/>
      </w:divBdr>
    </w:div>
    <w:div w:id="898131063">
      <w:bodyDiv w:val="1"/>
      <w:marLeft w:val="0"/>
      <w:marRight w:val="0"/>
      <w:marTop w:val="0"/>
      <w:marBottom w:val="0"/>
      <w:divBdr>
        <w:top w:val="none" w:sz="0" w:space="0" w:color="auto"/>
        <w:left w:val="none" w:sz="0" w:space="0" w:color="auto"/>
        <w:bottom w:val="none" w:sz="0" w:space="0" w:color="auto"/>
        <w:right w:val="none" w:sz="0" w:space="0" w:color="auto"/>
      </w:divBdr>
    </w:div>
    <w:div w:id="1064911614">
      <w:bodyDiv w:val="1"/>
      <w:marLeft w:val="0"/>
      <w:marRight w:val="0"/>
      <w:marTop w:val="0"/>
      <w:marBottom w:val="0"/>
      <w:divBdr>
        <w:top w:val="none" w:sz="0" w:space="0" w:color="auto"/>
        <w:left w:val="none" w:sz="0" w:space="0" w:color="auto"/>
        <w:bottom w:val="none" w:sz="0" w:space="0" w:color="auto"/>
        <w:right w:val="none" w:sz="0" w:space="0" w:color="auto"/>
      </w:divBdr>
    </w:div>
    <w:div w:id="1321928631">
      <w:bodyDiv w:val="1"/>
      <w:marLeft w:val="0"/>
      <w:marRight w:val="0"/>
      <w:marTop w:val="0"/>
      <w:marBottom w:val="0"/>
      <w:divBdr>
        <w:top w:val="none" w:sz="0" w:space="0" w:color="auto"/>
        <w:left w:val="none" w:sz="0" w:space="0" w:color="auto"/>
        <w:bottom w:val="none" w:sz="0" w:space="0" w:color="auto"/>
        <w:right w:val="none" w:sz="0" w:space="0" w:color="auto"/>
      </w:divBdr>
    </w:div>
    <w:div w:id="1527522337">
      <w:bodyDiv w:val="1"/>
      <w:marLeft w:val="0"/>
      <w:marRight w:val="0"/>
      <w:marTop w:val="0"/>
      <w:marBottom w:val="0"/>
      <w:divBdr>
        <w:top w:val="none" w:sz="0" w:space="0" w:color="auto"/>
        <w:left w:val="none" w:sz="0" w:space="0" w:color="auto"/>
        <w:bottom w:val="none" w:sz="0" w:space="0" w:color="auto"/>
        <w:right w:val="none" w:sz="0" w:space="0" w:color="auto"/>
      </w:divBdr>
    </w:div>
    <w:div w:id="1538354453">
      <w:bodyDiv w:val="1"/>
      <w:marLeft w:val="0"/>
      <w:marRight w:val="0"/>
      <w:marTop w:val="0"/>
      <w:marBottom w:val="0"/>
      <w:divBdr>
        <w:top w:val="none" w:sz="0" w:space="0" w:color="auto"/>
        <w:left w:val="none" w:sz="0" w:space="0" w:color="auto"/>
        <w:bottom w:val="none" w:sz="0" w:space="0" w:color="auto"/>
        <w:right w:val="none" w:sz="0" w:space="0" w:color="auto"/>
      </w:divBdr>
    </w:div>
    <w:div w:id="1610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dx.healthdata.org/ihme_data" TargetMode="External"/><Relationship Id="rId13" Type="http://schemas.openxmlformats.org/officeDocument/2006/relationships/hyperlink" Target="http://data.unicef.org/"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dr.undp.org/en/dat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un.org/" TargetMode="External"/><Relationship Id="rId5" Type="http://schemas.openxmlformats.org/officeDocument/2006/relationships/webSettings" Target="webSettings.xml"/><Relationship Id="rId15" Type="http://schemas.openxmlformats.org/officeDocument/2006/relationships/hyperlink" Target="http://dhsprogram.com/data/" TargetMode="External"/><Relationship Id="rId10" Type="http://schemas.openxmlformats.org/officeDocument/2006/relationships/hyperlink" Target="http://apps.who.int/nha/database"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who.int/gho/database/en/" TargetMode="External"/><Relationship Id="rId14" Type="http://schemas.openxmlformats.org/officeDocument/2006/relationships/hyperlink" Target="http://dat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C793FC-6F90-4807-95C3-3D479A17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dbishai</cp:lastModifiedBy>
  <cp:revision>5</cp:revision>
  <dcterms:created xsi:type="dcterms:W3CDTF">2015-12-22T22:42:00Z</dcterms:created>
  <dcterms:modified xsi:type="dcterms:W3CDTF">2015-12-30T23:26:00Z</dcterms:modified>
</cp:coreProperties>
</file>