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E032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S2 table: Unpublished validation study of 46 critically ill patients, evaluating the relationship between tympanic, axillary and nasopharyngeal temperature measurement, and intravesical temperature measurement.</w:t>
      </w:r>
    </w:p>
    <w:p w14:paraId="3E96BBFA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37B6292F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10" w:tblpY="-198"/>
        <w:tblW w:w="0" w:type="auto"/>
        <w:tblLook w:val="00A0" w:firstRow="1" w:lastRow="0" w:firstColumn="1" w:lastColumn="0" w:noHBand="0" w:noVBand="0"/>
      </w:tblPr>
      <w:tblGrid>
        <w:gridCol w:w="2497"/>
        <w:gridCol w:w="2753"/>
        <w:gridCol w:w="1624"/>
      </w:tblGrid>
      <w:tr w:rsidR="006462F6" w:rsidRPr="00364ED2" w14:paraId="32D4616A" w14:textId="77777777" w:rsidTr="004B6B20">
        <w:trPr>
          <w:trHeight w:val="425"/>
        </w:trPr>
        <w:tc>
          <w:tcPr>
            <w:tcW w:w="0" w:type="auto"/>
          </w:tcPr>
          <w:p w14:paraId="6256AEDD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327F365E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Mean difference</w:t>
            </w: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(limits of agreement)</w:t>
            </w:r>
          </w:p>
          <w:p w14:paraId="55558512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(</w:t>
            </w:r>
            <w:r w:rsidRPr="00364ED2">
              <w:rPr>
                <w:rFonts w:asciiTheme="majorHAnsi" w:hAnsiTheme="majorHAnsi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364ED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0" w:type="auto"/>
          </w:tcPr>
          <w:p w14:paraId="4CDEE3F9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Intra class coefficient</w:t>
            </w:r>
          </w:p>
          <w:p w14:paraId="1DDC9888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(95% CI)</w:t>
            </w:r>
          </w:p>
        </w:tc>
      </w:tr>
      <w:tr w:rsidR="006462F6" w:rsidRPr="00364ED2" w14:paraId="5FFC844F" w14:textId="77777777" w:rsidTr="004B6B20">
        <w:trPr>
          <w:trHeight w:val="163"/>
        </w:trPr>
        <w:tc>
          <w:tcPr>
            <w:tcW w:w="0" w:type="auto"/>
          </w:tcPr>
          <w:p w14:paraId="18A9E857" w14:textId="77777777" w:rsidR="006462F6" w:rsidRPr="006D4D9C" w:rsidRDefault="006462F6" w:rsidP="004B6B20">
            <w:pPr>
              <w:spacing w:beforeLines="20" w:before="48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D4D9C">
              <w:rPr>
                <w:rFonts w:asciiTheme="majorHAnsi" w:hAnsiTheme="majorHAnsi" w:cs="Arial"/>
                <w:bCs/>
                <w:sz w:val="16"/>
                <w:szCs w:val="16"/>
              </w:rPr>
              <w:t xml:space="preserve">Tympanic versus intravesical </w:t>
            </w:r>
          </w:p>
        </w:tc>
        <w:tc>
          <w:tcPr>
            <w:tcW w:w="0" w:type="auto"/>
          </w:tcPr>
          <w:p w14:paraId="49431A5C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sz w:val="16"/>
                <w:szCs w:val="16"/>
              </w:rPr>
              <w:t>0.</w:t>
            </w:r>
            <w:r>
              <w:rPr>
                <w:rFonts w:asciiTheme="majorHAnsi" w:hAnsiTheme="majorHAnsi" w:cs="Arial"/>
                <w:sz w:val="16"/>
                <w:szCs w:val="16"/>
              </w:rPr>
              <w:t>2 (</w:t>
            </w:r>
            <w:r w:rsidRPr="00364ED2">
              <w:rPr>
                <w:rFonts w:asciiTheme="majorHAnsi" w:hAnsiTheme="majorHAnsi" w:cs="Arial"/>
                <w:sz w:val="16"/>
                <w:szCs w:val="16"/>
              </w:rPr>
              <w:t>-0.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6 to </w:t>
            </w:r>
            <w:r w:rsidRPr="00364ED2">
              <w:rPr>
                <w:rFonts w:asciiTheme="majorHAnsi" w:hAnsiTheme="majorHAnsi" w:cs="Arial"/>
                <w:sz w:val="16"/>
                <w:szCs w:val="16"/>
              </w:rPr>
              <w:t>0.9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2E572393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sz w:val="16"/>
                <w:szCs w:val="16"/>
              </w:rPr>
              <w:t>0.90 (0.83 0.95)</w:t>
            </w:r>
          </w:p>
        </w:tc>
      </w:tr>
      <w:tr w:rsidR="006462F6" w:rsidRPr="00364ED2" w14:paraId="3270A309" w14:textId="77777777" w:rsidTr="004B6B20">
        <w:trPr>
          <w:trHeight w:val="157"/>
        </w:trPr>
        <w:tc>
          <w:tcPr>
            <w:tcW w:w="0" w:type="auto"/>
          </w:tcPr>
          <w:p w14:paraId="756CB698" w14:textId="77777777" w:rsidR="006462F6" w:rsidRPr="006D4D9C" w:rsidRDefault="006462F6" w:rsidP="004B6B20">
            <w:pPr>
              <w:spacing w:beforeLines="20" w:before="48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D4D9C">
              <w:rPr>
                <w:rFonts w:asciiTheme="majorHAnsi" w:hAnsiTheme="majorHAnsi" w:cs="Arial"/>
                <w:bCs/>
                <w:sz w:val="16"/>
                <w:szCs w:val="16"/>
              </w:rPr>
              <w:t xml:space="preserve">Axillary versus intravesical </w:t>
            </w:r>
          </w:p>
        </w:tc>
        <w:tc>
          <w:tcPr>
            <w:tcW w:w="0" w:type="auto"/>
          </w:tcPr>
          <w:p w14:paraId="66A5D4A3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sz w:val="16"/>
                <w:szCs w:val="16"/>
              </w:rPr>
              <w:t>-0.6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(-1.7 to 0.5</w:t>
            </w:r>
          </w:p>
        </w:tc>
        <w:tc>
          <w:tcPr>
            <w:tcW w:w="0" w:type="auto"/>
          </w:tcPr>
          <w:p w14:paraId="02DB4EF4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sz w:val="16"/>
                <w:szCs w:val="16"/>
              </w:rPr>
              <w:t>0.90 (0.83, 0.94)</w:t>
            </w:r>
          </w:p>
        </w:tc>
      </w:tr>
      <w:tr w:rsidR="006462F6" w:rsidRPr="00364ED2" w14:paraId="12394C8A" w14:textId="77777777" w:rsidTr="004B6B20">
        <w:trPr>
          <w:trHeight w:val="163"/>
        </w:trPr>
        <w:tc>
          <w:tcPr>
            <w:tcW w:w="0" w:type="auto"/>
          </w:tcPr>
          <w:p w14:paraId="262B532F" w14:textId="77777777" w:rsidR="006462F6" w:rsidRPr="006D4D9C" w:rsidRDefault="006462F6" w:rsidP="004B6B20">
            <w:pPr>
              <w:spacing w:beforeLines="20" w:before="48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D4D9C">
              <w:rPr>
                <w:rFonts w:asciiTheme="majorHAnsi" w:hAnsiTheme="majorHAnsi" w:cs="Arial"/>
                <w:bCs/>
                <w:sz w:val="16"/>
                <w:szCs w:val="16"/>
              </w:rPr>
              <w:t xml:space="preserve">Nasopharyngeal versus intravesical </w:t>
            </w:r>
          </w:p>
        </w:tc>
        <w:tc>
          <w:tcPr>
            <w:tcW w:w="0" w:type="auto"/>
          </w:tcPr>
          <w:p w14:paraId="6723046B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sz w:val="16"/>
                <w:szCs w:val="16"/>
              </w:rPr>
              <w:t>-0.3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(-1.5 to 0.9)</w:t>
            </w:r>
          </w:p>
        </w:tc>
        <w:tc>
          <w:tcPr>
            <w:tcW w:w="0" w:type="auto"/>
          </w:tcPr>
          <w:p w14:paraId="456D6E9D" w14:textId="77777777" w:rsidR="006462F6" w:rsidRPr="00364ED2" w:rsidRDefault="006462F6" w:rsidP="004B6B20">
            <w:pPr>
              <w:spacing w:beforeLines="20" w:before="4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64ED2">
              <w:rPr>
                <w:rFonts w:asciiTheme="majorHAnsi" w:hAnsiTheme="majorHAnsi" w:cs="Arial"/>
                <w:sz w:val="16"/>
                <w:szCs w:val="16"/>
              </w:rPr>
              <w:t>0.88 (0.79, 0.93)</w:t>
            </w:r>
          </w:p>
        </w:tc>
      </w:tr>
    </w:tbl>
    <w:p w14:paraId="3B39F2E5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39280DD7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50A7B1FE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4C6442A7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3D5DD14B" w14:textId="77777777" w:rsidR="006462F6" w:rsidRPr="00241543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5332EECE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sectPr w:rsidR="006462F6" w:rsidSect="00386CFD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B6952" w14:textId="77777777" w:rsidR="003B17AC" w:rsidRDefault="003B17AC" w:rsidP="006D4D9C">
      <w:r>
        <w:separator/>
      </w:r>
    </w:p>
  </w:endnote>
  <w:endnote w:type="continuationSeparator" w:id="0">
    <w:p w14:paraId="450FAF42" w14:textId="77777777" w:rsidR="003B17AC" w:rsidRDefault="003B17AC" w:rsidP="006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759E" w14:textId="77777777" w:rsidR="003B17AC" w:rsidRDefault="003B17AC" w:rsidP="00077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00A56" w14:textId="77777777" w:rsidR="003B17AC" w:rsidRDefault="003B17AC" w:rsidP="006D4D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A2B5" w14:textId="77777777" w:rsidR="003B17AC" w:rsidRPr="006D4D9C" w:rsidRDefault="003B17AC" w:rsidP="000779F3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6D4D9C">
      <w:rPr>
        <w:rStyle w:val="PageNumber"/>
        <w:rFonts w:asciiTheme="majorHAnsi" w:hAnsiTheme="majorHAnsi"/>
        <w:sz w:val="16"/>
        <w:szCs w:val="16"/>
      </w:rPr>
      <w:fldChar w:fldCharType="begin"/>
    </w:r>
    <w:r w:rsidRPr="006D4D9C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6D4D9C">
      <w:rPr>
        <w:rStyle w:val="PageNumber"/>
        <w:rFonts w:asciiTheme="majorHAnsi" w:hAnsiTheme="majorHAnsi"/>
        <w:sz w:val="16"/>
        <w:szCs w:val="16"/>
      </w:rPr>
      <w:fldChar w:fldCharType="separate"/>
    </w:r>
    <w:r w:rsidR="006462F6">
      <w:rPr>
        <w:rStyle w:val="PageNumber"/>
        <w:rFonts w:asciiTheme="majorHAnsi" w:hAnsiTheme="majorHAnsi"/>
        <w:noProof/>
        <w:sz w:val="16"/>
        <w:szCs w:val="16"/>
      </w:rPr>
      <w:t>1</w:t>
    </w:r>
    <w:r w:rsidRPr="006D4D9C">
      <w:rPr>
        <w:rStyle w:val="PageNumber"/>
        <w:rFonts w:asciiTheme="majorHAnsi" w:hAnsiTheme="majorHAnsi"/>
        <w:sz w:val="16"/>
        <w:szCs w:val="16"/>
      </w:rPr>
      <w:fldChar w:fldCharType="end"/>
    </w:r>
  </w:p>
  <w:p w14:paraId="381CD278" w14:textId="52167EAF" w:rsidR="003B17AC" w:rsidRDefault="00122852" w:rsidP="006D4D9C">
    <w:pPr>
      <w:pStyle w:val="Footer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26</w:t>
    </w:r>
    <w:r w:rsidRPr="00122852">
      <w:rPr>
        <w:rFonts w:asciiTheme="majorHAnsi" w:hAnsiTheme="majorHAnsi"/>
        <w:sz w:val="16"/>
        <w:szCs w:val="16"/>
        <w:vertAlign w:val="superscript"/>
      </w:rPr>
      <w:t>th</w:t>
    </w:r>
    <w:r>
      <w:rPr>
        <w:rFonts w:asciiTheme="majorHAnsi" w:hAnsiTheme="majorHAnsi"/>
        <w:sz w:val="16"/>
        <w:szCs w:val="16"/>
      </w:rPr>
      <w:t xml:space="preserve"> November</w:t>
    </w:r>
    <w:r w:rsidR="003B17AC">
      <w:rPr>
        <w:rFonts w:asciiTheme="majorHAnsi" w:hAnsiTheme="majorHAnsi"/>
        <w:sz w:val="16"/>
        <w:szCs w:val="16"/>
      </w:rPr>
      <w:t xml:space="preserve"> 2015</w:t>
    </w:r>
  </w:p>
  <w:p w14:paraId="44C321D5" w14:textId="7C92F448" w:rsidR="003B17AC" w:rsidRPr="006D4D9C" w:rsidRDefault="00D96B7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PLoS 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4977" w14:textId="77777777" w:rsidR="003B17AC" w:rsidRDefault="003B17AC" w:rsidP="006D4D9C">
      <w:r>
        <w:separator/>
      </w:r>
    </w:p>
  </w:footnote>
  <w:footnote w:type="continuationSeparator" w:id="0">
    <w:p w14:paraId="36A05691" w14:textId="77777777" w:rsidR="003B17AC" w:rsidRDefault="003B17AC" w:rsidP="006D4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4953" w14:textId="5312BED2" w:rsidR="003B17AC" w:rsidRPr="006D4D9C" w:rsidRDefault="003B17AC" w:rsidP="006D4D9C">
    <w:pPr>
      <w:pStyle w:val="Head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Paracetamol for traumatic brain injury: supplementary </w:t>
    </w:r>
    <w:r w:rsidR="00D96B7A">
      <w:rPr>
        <w:rFonts w:asciiTheme="majorHAnsi" w:hAnsiTheme="majorHAnsi"/>
        <w:sz w:val="16"/>
        <w:szCs w:val="16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057"/>
    <w:multiLevelType w:val="hybridMultilevel"/>
    <w:tmpl w:val="15C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4420"/>
    <w:multiLevelType w:val="multilevel"/>
    <w:tmpl w:val="04090025"/>
    <w:styleLink w:val="PhDThesis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B120104"/>
    <w:multiLevelType w:val="hybridMultilevel"/>
    <w:tmpl w:val="33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26FB"/>
    <w:multiLevelType w:val="hybridMultilevel"/>
    <w:tmpl w:val="2BCA4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C"/>
    <w:rsid w:val="00060604"/>
    <w:rsid w:val="000779F3"/>
    <w:rsid w:val="00122852"/>
    <w:rsid w:val="00225369"/>
    <w:rsid w:val="00307D6B"/>
    <w:rsid w:val="00386CFD"/>
    <w:rsid w:val="003B17AC"/>
    <w:rsid w:val="006462F6"/>
    <w:rsid w:val="006B28F7"/>
    <w:rsid w:val="006C18FE"/>
    <w:rsid w:val="006D4D9C"/>
    <w:rsid w:val="0080401B"/>
    <w:rsid w:val="00826E50"/>
    <w:rsid w:val="008E591F"/>
    <w:rsid w:val="00971DD0"/>
    <w:rsid w:val="00972CAD"/>
    <w:rsid w:val="00BB4057"/>
    <w:rsid w:val="00C9185A"/>
    <w:rsid w:val="00D96B7A"/>
    <w:rsid w:val="00E5693C"/>
    <w:rsid w:val="00E7232F"/>
    <w:rsid w:val="00F378C8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F7A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F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DThesis">
    <w:name w:val="PhD Thesis"/>
    <w:uiPriority w:val="99"/>
    <w:rsid w:val="00E7232F"/>
    <w:pPr>
      <w:numPr>
        <w:numId w:val="1"/>
      </w:numPr>
    </w:pPr>
  </w:style>
  <w:style w:type="table" w:styleId="TableGrid">
    <w:name w:val="Table Grid"/>
    <w:basedOn w:val="TableNormal"/>
    <w:uiPriority w:val="59"/>
    <w:rsid w:val="006D4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9C"/>
    <w:pPr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779F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0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F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DThesis">
    <w:name w:val="PhD Thesis"/>
    <w:uiPriority w:val="99"/>
    <w:rsid w:val="00E7232F"/>
    <w:pPr>
      <w:numPr>
        <w:numId w:val="1"/>
      </w:numPr>
    </w:pPr>
  </w:style>
  <w:style w:type="table" w:styleId="TableGrid">
    <w:name w:val="Table Grid"/>
    <w:basedOn w:val="TableNormal"/>
    <w:uiPriority w:val="59"/>
    <w:rsid w:val="006D4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9C"/>
    <w:pPr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779F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0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2</cp:revision>
  <dcterms:created xsi:type="dcterms:W3CDTF">2015-11-26T02:29:00Z</dcterms:created>
  <dcterms:modified xsi:type="dcterms:W3CDTF">2015-11-26T02:29:00Z</dcterms:modified>
</cp:coreProperties>
</file>