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66" w:rsidRDefault="00A11E82" w:rsidP="00A11E82">
      <w:pPr>
        <w:spacing w:line="480" w:lineRule="auto"/>
        <w:rPr>
          <w:sz w:val="20"/>
        </w:rPr>
      </w:pPr>
      <w:r>
        <w:rPr>
          <w:b/>
          <w:sz w:val="20"/>
        </w:rPr>
        <w:t>S2 Table</w:t>
      </w:r>
      <w:r w:rsidRPr="00736118">
        <w:rPr>
          <w:b/>
          <w:sz w:val="20"/>
        </w:rPr>
        <w:t xml:space="preserve">. </w:t>
      </w:r>
      <w:r w:rsidRPr="00736118">
        <w:rPr>
          <w:sz w:val="20"/>
        </w:rPr>
        <w:t>Characteristics of women in first generation (G1) and second generation (G2), according to available information on smoking during pregnancy in the Swedish Medical Birth Register. Numbers are shown in n and (%).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57"/>
        <w:gridCol w:w="1649"/>
        <w:gridCol w:w="1850"/>
        <w:gridCol w:w="1749"/>
      </w:tblGrid>
      <w:tr w:rsidR="00A11E82" w:rsidRPr="006B7624" w:rsidTr="008E2F6B">
        <w:tc>
          <w:tcPr>
            <w:tcW w:w="1951" w:type="dxa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A11E82" w:rsidRPr="006B7624" w:rsidRDefault="00A11E82" w:rsidP="008E2F6B">
            <w:pPr>
              <w:tabs>
                <w:tab w:val="left" w:pos="453"/>
                <w:tab w:val="center" w:pos="1545"/>
              </w:tabs>
              <w:spacing w:line="360" w:lineRule="auto"/>
              <w:rPr>
                <w:i/>
                <w:iCs/>
                <w:sz w:val="20"/>
              </w:rPr>
            </w:pPr>
            <w:r w:rsidRPr="006B7624">
              <w:rPr>
                <w:i/>
                <w:iCs/>
                <w:sz w:val="20"/>
              </w:rPr>
              <w:tab/>
            </w:r>
            <w:r w:rsidRPr="006B7624">
              <w:rPr>
                <w:i/>
                <w:iCs/>
                <w:sz w:val="20"/>
              </w:rPr>
              <w:tab/>
              <w:t>First generation (G1)</w:t>
            </w:r>
          </w:p>
        </w:tc>
        <w:tc>
          <w:tcPr>
            <w:tcW w:w="3599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A11E82" w:rsidRPr="006B7624" w:rsidRDefault="00A11E82" w:rsidP="008E2F6B">
            <w:pPr>
              <w:tabs>
                <w:tab w:val="left" w:pos="453"/>
                <w:tab w:val="center" w:pos="1691"/>
              </w:tabs>
              <w:spacing w:line="360" w:lineRule="auto"/>
              <w:rPr>
                <w:i/>
                <w:iCs/>
                <w:sz w:val="20"/>
              </w:rPr>
            </w:pPr>
            <w:r w:rsidRPr="006B7624">
              <w:rPr>
                <w:i/>
                <w:iCs/>
                <w:sz w:val="20"/>
              </w:rPr>
              <w:tab/>
            </w:r>
            <w:r w:rsidRPr="006B7624">
              <w:rPr>
                <w:i/>
                <w:iCs/>
                <w:sz w:val="20"/>
              </w:rPr>
              <w:tab/>
              <w:t>Second generation (G2)</w:t>
            </w:r>
          </w:p>
        </w:tc>
      </w:tr>
      <w:tr w:rsidR="00A11E82" w:rsidRPr="006B7624" w:rsidTr="008E2F6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Complete smoking data</w:t>
            </w:r>
          </w:p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n=167,833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Missing smoking data</w:t>
            </w:r>
          </w:p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n=28,089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Complete smoking data</w:t>
            </w:r>
          </w:p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n=188,312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Missing smoking data</w:t>
            </w:r>
          </w:p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n=7,607</w:t>
            </w:r>
          </w:p>
        </w:tc>
      </w:tr>
      <w:tr w:rsidR="00A11E82" w:rsidRPr="006B7624" w:rsidTr="008E2F6B">
        <w:tc>
          <w:tcPr>
            <w:tcW w:w="195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</w:rPr>
            </w:pPr>
            <w:r w:rsidRPr="006B7624">
              <w:rPr>
                <w:b/>
                <w:sz w:val="20"/>
              </w:rPr>
              <w:t>Age at childbirth (yrs)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 xml:space="preserve"> &lt;20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10,546 (6.3)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1,907 (6.8)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14,797 (7.9)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863 (11.3)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20-29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114,912 (68.5)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 xml:space="preserve"> 18,623 (66.3)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170,657 (90.6)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6,630 (87.1)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30-39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40,416 (24.1)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7,200 (25.6)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2,854 (1.5)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113 (1.4)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≥40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1,959 (1.2)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359 (1.3)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  <w:vertAlign w:val="superscript"/>
              </w:rPr>
            </w:pPr>
            <w:r w:rsidRPr="006B7624">
              <w:rPr>
                <w:sz w:val="20"/>
              </w:rPr>
              <w:t>-</w:t>
            </w:r>
            <w:r w:rsidRPr="006B7624">
              <w:rPr>
                <w:sz w:val="20"/>
                <w:vertAlign w:val="superscript"/>
              </w:rPr>
              <w:t>a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  <w:vertAlign w:val="superscript"/>
              </w:rPr>
            </w:pPr>
            <w:r w:rsidRPr="006B7624">
              <w:rPr>
                <w:sz w:val="20"/>
              </w:rPr>
              <w:t>-</w:t>
            </w:r>
            <w:r w:rsidRPr="006B7624">
              <w:rPr>
                <w:sz w:val="20"/>
                <w:vertAlign w:val="superscript"/>
              </w:rPr>
              <w:t>a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</w:rPr>
            </w:pPr>
            <w:r w:rsidRPr="006B7624">
              <w:rPr>
                <w:b/>
                <w:sz w:val="20"/>
              </w:rPr>
              <w:t>Body Mass Index (kg/m</w:t>
            </w:r>
            <w:r w:rsidRPr="006B7624">
              <w:rPr>
                <w:b/>
                <w:sz w:val="20"/>
                <w:vertAlign w:val="superscript"/>
              </w:rPr>
              <w:t>2</w:t>
            </w:r>
            <w:r w:rsidRPr="006B7624">
              <w:rPr>
                <w:b/>
                <w:sz w:val="20"/>
              </w:rPr>
              <w:t>)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&lt;18.5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9,849 (8.4)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968 (8.9)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6,072 (3.4)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37 (3.4)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18.5-24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86,398 (74.0)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8,155 (74.8)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106,686 (59.0)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630 (58.7)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25-29.9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166,90 (14.3)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1,446 (13.3)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43,469 (24.0)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243 (22.6</w:t>
            </w:r>
            <w:r w:rsidRPr="006B7624">
              <w:rPr>
                <w:sz w:val="20"/>
              </w:rPr>
              <w:t>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30-34.9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3,351 (2.9)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301 (2.8)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16,930 (9.4)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114 (10.6</w:t>
            </w:r>
            <w:r w:rsidRPr="006B7624">
              <w:rPr>
                <w:sz w:val="20"/>
              </w:rPr>
              <w:t>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35-39.9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368 (0.3)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27 (0.2)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5,618 (3.1)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tabs>
                <w:tab w:val="left" w:pos="1267"/>
              </w:tabs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41 (3.8)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≥40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44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2,127 (1.1)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tabs>
                <w:tab w:val="left" w:pos="1267"/>
              </w:tabs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8 (0.7)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 xml:space="preserve">Total valid 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116,701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10,898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180,902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tabs>
                <w:tab w:val="left" w:pos="1267"/>
              </w:tabs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1,073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Missing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51,132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17,191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7,410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6,537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</w:rPr>
            </w:pPr>
            <w:r w:rsidRPr="006B7624">
              <w:rPr>
                <w:b/>
                <w:sz w:val="20"/>
              </w:rPr>
              <w:t xml:space="preserve">Parity 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66,291 (39.5)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11,228 (40.0)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126,527 (67.2)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5,059 (65.5)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56,640 (33.7)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9,774 (34.8)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51,601 (27.4)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2,058 (27.1)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≥3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44,902 (26.8)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7,087 (25.2)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  <w:vertAlign w:val="superscript"/>
              </w:rPr>
            </w:pPr>
            <w:r w:rsidRPr="006B7624">
              <w:rPr>
                <w:sz w:val="20"/>
              </w:rPr>
              <w:t>10,155 (5.4)</w:t>
            </w:r>
            <w:r w:rsidRPr="006B7624">
              <w:rPr>
                <w:color w:val="131313"/>
                <w:sz w:val="20"/>
                <w:vertAlign w:val="superscript"/>
              </w:rPr>
              <w:t>b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  <w:vertAlign w:val="superscript"/>
              </w:rPr>
            </w:pPr>
            <w:r w:rsidRPr="006B7624">
              <w:rPr>
                <w:sz w:val="20"/>
              </w:rPr>
              <w:t>490 (6.4)</w:t>
            </w:r>
            <w:r w:rsidRPr="006B7624">
              <w:rPr>
                <w:color w:val="131313"/>
                <w:sz w:val="20"/>
                <w:vertAlign w:val="superscript"/>
              </w:rPr>
              <w:t>b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</w:rPr>
            </w:pPr>
            <w:r w:rsidRPr="006B7624">
              <w:rPr>
                <w:b/>
                <w:sz w:val="20"/>
              </w:rPr>
              <w:t>Mode of delivery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Vaginal delivery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149,718 (89.2)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25,025 (89.1)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149,744 (79.5)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5,953 (78.2)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Elective Cesarean section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715 (0.4)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49 (0.2)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7947 (4.2)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367 (4.8)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Emergency Cesarean section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16,813 (10.0)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2,958 (10.5)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16,143 (8.6)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786 (10.3)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Forceps/Vacuum extraction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587 (0.3)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57 (0.2)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14,478 (7.7)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504 (6.6)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  <w:vertAlign w:val="superscript"/>
              </w:rPr>
            </w:pPr>
            <w:r w:rsidRPr="006B7624">
              <w:rPr>
                <w:b/>
                <w:sz w:val="20"/>
              </w:rPr>
              <w:t>Preeclampsia</w:t>
            </w:r>
            <w:r w:rsidRPr="006B7624">
              <w:rPr>
                <w:b/>
                <w:color w:val="131313"/>
                <w:sz w:val="20"/>
                <w:vertAlign w:val="superscript"/>
              </w:rPr>
              <w:t>c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</w:rPr>
            </w:pP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lastRenderedPageBreak/>
              <w:t>Mild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2,363 (1.4)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247 (0.9)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4,810 (2.6)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170 (2.2)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Severe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620 (0.4)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75 (0.3)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2,135 (1.1)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128 (1.7)</w:t>
            </w: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b/>
                <w:sz w:val="20"/>
              </w:rPr>
            </w:pPr>
            <w:r w:rsidRPr="006B7624">
              <w:rPr>
                <w:b/>
                <w:sz w:val="20"/>
              </w:rPr>
              <w:t xml:space="preserve">Hypertension 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</w:p>
        </w:tc>
      </w:tr>
      <w:tr w:rsidR="00A11E82" w:rsidRPr="006B7624" w:rsidTr="008E2F6B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 xml:space="preserve">Chronic 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175 (0.1)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33 (0.1)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336 (0.2)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19 (0.2)</w:t>
            </w:r>
          </w:p>
        </w:tc>
      </w:tr>
      <w:tr w:rsidR="00A11E82" w:rsidRPr="006B7624" w:rsidTr="008E2F6B">
        <w:tc>
          <w:tcPr>
            <w:tcW w:w="1951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Pregnancy-induced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1,683 (1.0)</w:t>
            </w:r>
          </w:p>
        </w:tc>
        <w:tc>
          <w:tcPr>
            <w:tcW w:w="16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185 (0.7)</w:t>
            </w:r>
          </w:p>
        </w:tc>
        <w:tc>
          <w:tcPr>
            <w:tcW w:w="1850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2,170 (1.2)</w:t>
            </w:r>
          </w:p>
        </w:tc>
        <w:tc>
          <w:tcPr>
            <w:tcW w:w="1749" w:type="dxa"/>
            <w:shd w:val="clear" w:color="auto" w:fill="auto"/>
          </w:tcPr>
          <w:p w:rsidR="00A11E82" w:rsidRPr="006B7624" w:rsidRDefault="00A11E82" w:rsidP="008E2F6B">
            <w:pPr>
              <w:spacing w:line="360" w:lineRule="auto"/>
              <w:rPr>
                <w:sz w:val="20"/>
              </w:rPr>
            </w:pPr>
            <w:r w:rsidRPr="006B7624">
              <w:rPr>
                <w:sz w:val="20"/>
              </w:rPr>
              <w:t>86 (1.1)</w:t>
            </w:r>
          </w:p>
        </w:tc>
      </w:tr>
    </w:tbl>
    <w:p w:rsidR="00A11E82" w:rsidRPr="006B7624" w:rsidRDefault="00A11E82" w:rsidP="00A11E82">
      <w:pPr>
        <w:spacing w:line="360" w:lineRule="auto"/>
        <w:rPr>
          <w:sz w:val="20"/>
        </w:rPr>
      </w:pPr>
      <w:r w:rsidRPr="006B7624">
        <w:rPr>
          <w:sz w:val="20"/>
          <w:vertAlign w:val="superscript"/>
        </w:rPr>
        <w:t>a</w:t>
      </w:r>
      <w:r w:rsidRPr="006B7624">
        <w:rPr>
          <w:sz w:val="20"/>
        </w:rPr>
        <w:t xml:space="preserve">4 women mis-classified as &gt;40 years in both groups. </w:t>
      </w:r>
    </w:p>
    <w:p w:rsidR="00A11E82" w:rsidRPr="006B7624" w:rsidRDefault="00A11E82" w:rsidP="00A11E82">
      <w:pPr>
        <w:spacing w:line="360" w:lineRule="auto"/>
        <w:rPr>
          <w:sz w:val="20"/>
        </w:rPr>
      </w:pPr>
      <w:r w:rsidRPr="006B7624">
        <w:rPr>
          <w:color w:val="131313"/>
          <w:sz w:val="20"/>
          <w:vertAlign w:val="superscript"/>
        </w:rPr>
        <w:t>b</w:t>
      </w:r>
      <w:r w:rsidRPr="006B7624">
        <w:rPr>
          <w:sz w:val="20"/>
        </w:rPr>
        <w:t>29 women had missing parity data in the group with valid smoking data, and 3 women in the group with missing smoking data, respectively.</w:t>
      </w:r>
    </w:p>
    <w:p w:rsidR="00A11E82" w:rsidRPr="006B7624" w:rsidRDefault="00A11E82" w:rsidP="00A11E82">
      <w:pPr>
        <w:spacing w:line="360" w:lineRule="auto"/>
        <w:rPr>
          <w:sz w:val="20"/>
        </w:rPr>
      </w:pPr>
      <w:r w:rsidRPr="006B7624">
        <w:rPr>
          <w:color w:val="131313"/>
          <w:sz w:val="20"/>
          <w:vertAlign w:val="superscript"/>
        </w:rPr>
        <w:t>c</w:t>
      </w:r>
      <w:r w:rsidRPr="006B7624">
        <w:rPr>
          <w:sz w:val="20"/>
        </w:rPr>
        <w:t xml:space="preserve">Mild preeclampsia was </w:t>
      </w:r>
      <w:r w:rsidRPr="006B7624">
        <w:rPr>
          <w:color w:val="141413"/>
          <w:sz w:val="20"/>
        </w:rPr>
        <w:t>defined as a diastolic blood pressure of 90–109 mmHg combined with proteinuria of &lt;5 g/day and severe preeclampsia as either a diastolic blood pressure of ≥110 mmHg or proteinuria of ≥5 g/day or both.</w:t>
      </w:r>
    </w:p>
    <w:p w:rsidR="00A11E82" w:rsidRDefault="00A11E82" w:rsidP="00A11E82">
      <w:pPr>
        <w:spacing w:line="480" w:lineRule="auto"/>
      </w:pPr>
      <w:bookmarkStart w:id="0" w:name="_GoBack"/>
      <w:bookmarkEnd w:id="0"/>
    </w:p>
    <w:sectPr w:rsidR="00A11E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82"/>
    <w:rsid w:val="00A11E82"/>
    <w:rsid w:val="00B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D1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Mattsson</dc:creator>
  <cp:keywords/>
  <dc:description/>
  <cp:lastModifiedBy>Kristina Mattsson</cp:lastModifiedBy>
  <cp:revision>1</cp:revision>
  <dcterms:created xsi:type="dcterms:W3CDTF">2015-11-18T10:40:00Z</dcterms:created>
  <dcterms:modified xsi:type="dcterms:W3CDTF">2015-11-18T10:41:00Z</dcterms:modified>
</cp:coreProperties>
</file>