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C7" w:rsidRPr="009D7003" w:rsidRDefault="00107AC7" w:rsidP="00C0735D">
      <w:pPr>
        <w:autoSpaceDE w:val="0"/>
        <w:autoSpaceDN w:val="0"/>
        <w:adjustRightInd w:val="0"/>
        <w:ind w:firstLineChars="0" w:firstLine="0"/>
        <w:rPr>
          <w:rFonts w:ascii="Times-Bold" w:hAnsi="Times-Bold" w:cs="Times-Bold"/>
          <w:b/>
          <w:bCs/>
          <w:kern w:val="0"/>
          <w:sz w:val="28"/>
          <w:szCs w:val="28"/>
        </w:rPr>
      </w:pPr>
      <w:r w:rsidRPr="009D7003">
        <w:rPr>
          <w:rFonts w:ascii="Times-Bold" w:hAnsi="Times-Bold" w:cs="Times-Bold"/>
          <w:b/>
          <w:bCs/>
          <w:kern w:val="0"/>
          <w:sz w:val="28"/>
          <w:szCs w:val="28"/>
        </w:rPr>
        <w:t>Stability of</w:t>
      </w:r>
      <w:bookmarkStart w:id="0" w:name="OLE_LINK1"/>
      <w:bookmarkStart w:id="1" w:name="OLE_LINK2"/>
      <w:r w:rsidRPr="009D7003">
        <w:rPr>
          <w:rFonts w:ascii="Times-Bold" w:hAnsi="Times-Bold" w:cs="Times-Bold"/>
          <w:b/>
          <w:bCs/>
          <w:kern w:val="0"/>
          <w:sz w:val="28"/>
          <w:szCs w:val="28"/>
        </w:rPr>
        <w:t xml:space="preserve"> tetra</w:t>
      </w:r>
      <w:r w:rsidR="005C2FD5">
        <w:rPr>
          <w:rFonts w:ascii="Times-Bold" w:hAnsi="Times-Bold" w:cs="Times-Bold" w:hint="eastAsia"/>
          <w:b/>
          <w:bCs/>
          <w:kern w:val="0"/>
          <w:sz w:val="28"/>
          <w:szCs w:val="28"/>
        </w:rPr>
        <w:t>z</w:t>
      </w:r>
      <w:r w:rsidRPr="009D7003">
        <w:rPr>
          <w:rFonts w:ascii="Times-Bold" w:hAnsi="Times-Bold" w:cs="Times-Bold"/>
          <w:b/>
          <w:bCs/>
          <w:kern w:val="0"/>
          <w:sz w:val="28"/>
          <w:szCs w:val="28"/>
        </w:rPr>
        <w:t>ine-containing amino acid 2</w:t>
      </w:r>
      <w:bookmarkEnd w:id="0"/>
      <w:bookmarkEnd w:id="1"/>
      <w:r w:rsidRPr="009D7003">
        <w:rPr>
          <w:rFonts w:ascii="Times-Bold" w:hAnsi="Times-Bold" w:cs="Times-Bold"/>
          <w:b/>
          <w:bCs/>
          <w:kern w:val="0"/>
          <w:sz w:val="28"/>
          <w:szCs w:val="28"/>
        </w:rPr>
        <w:t xml:space="preserve"> </w:t>
      </w:r>
    </w:p>
    <w:p w:rsidR="00107AC7" w:rsidRDefault="00107AC7" w:rsidP="00C0735D">
      <w:pPr>
        <w:ind w:firstLine="360"/>
      </w:pPr>
      <w:r>
        <w:t xml:space="preserve">The stabilities of selected </w:t>
      </w:r>
      <w:r w:rsidRPr="00E4245E">
        <w:t xml:space="preserve">tetrazines in </w:t>
      </w:r>
      <w:r>
        <w:t xml:space="preserve">PBS were measured </w:t>
      </w:r>
      <w:r w:rsidR="00307A08">
        <w:t xml:space="preserve">with </w:t>
      </w:r>
      <w:r>
        <w:t>Agilent 8453 UV</w:t>
      </w:r>
      <w:r w:rsidR="002358DE">
        <w:t>-</w:t>
      </w:r>
      <w:r>
        <w:t>vis</w:t>
      </w:r>
      <w:r w:rsidRPr="00E4245E">
        <w:t xml:space="preserve"> s</w:t>
      </w:r>
      <w:r>
        <w:t>pectrophotometer</w:t>
      </w:r>
      <w:r w:rsidR="00902A0B">
        <w:t xml:space="preserve"> (</w:t>
      </w:r>
      <w:r w:rsidR="00A97BD3" w:rsidRPr="00B0274F">
        <w:rPr>
          <w:kern w:val="0"/>
          <w:szCs w:val="24"/>
        </w:rPr>
        <w:t>Figure F</w:t>
      </w:r>
      <w:r w:rsidR="00902A0B">
        <w:rPr>
          <w:rFonts w:hint="eastAsia"/>
        </w:rPr>
        <w:t>)</w:t>
      </w:r>
      <w:r>
        <w:t xml:space="preserve">. The compounds </w:t>
      </w:r>
      <w:r w:rsidRPr="00E4245E">
        <w:t xml:space="preserve">were added to </w:t>
      </w:r>
      <w:r>
        <w:t xml:space="preserve">PBS at 37 °C in a </w:t>
      </w:r>
      <w:r w:rsidRPr="00E4245E">
        <w:t xml:space="preserve">capped quartz cuvette </w:t>
      </w:r>
      <w:r w:rsidR="004C5DCB">
        <w:t>with the</w:t>
      </w:r>
      <w:r w:rsidRPr="00E4245E">
        <w:t xml:space="preserve"> fin</w:t>
      </w:r>
      <w:r>
        <w:t>al concentration of 1 mmol</w:t>
      </w:r>
      <w:r w:rsidRPr="00E4245E">
        <w:t>. The decrease of the tetra</w:t>
      </w:r>
      <w:r>
        <w:t>zine absorbance measured at 523 nm was monitored for 6 h at 37 °C</w:t>
      </w:r>
      <w:r w:rsidR="00B00C9B">
        <w:t xml:space="preserve"> (</w:t>
      </w:r>
      <w:r w:rsidR="00A97BD3" w:rsidRPr="009B6709">
        <w:rPr>
          <w:kern w:val="0"/>
          <w:szCs w:val="24"/>
        </w:rPr>
        <w:t xml:space="preserve">Figure </w:t>
      </w:r>
      <w:r w:rsidR="00A97BD3">
        <w:rPr>
          <w:kern w:val="0"/>
          <w:szCs w:val="24"/>
        </w:rPr>
        <w:t>G</w:t>
      </w:r>
      <w:r w:rsidR="00B00C9B">
        <w:t>)</w:t>
      </w:r>
      <w:r>
        <w:t xml:space="preserve">. </w:t>
      </w:r>
      <w:r w:rsidRPr="00716BD3">
        <w:t>Three</w:t>
      </w:r>
      <w:r>
        <w:t xml:space="preserve"> </w:t>
      </w:r>
      <w:r w:rsidRPr="00716BD3">
        <w:t xml:space="preserve">independent trials (containing three wells for </w:t>
      </w:r>
      <w:r>
        <w:t xml:space="preserve">each tetrazine) </w:t>
      </w:r>
      <w:r w:rsidRPr="00716BD3">
        <w:t>were conducted and the aver</w:t>
      </w:r>
      <w:r>
        <w:t>age of the three wells</w:t>
      </w:r>
      <w:r w:rsidRPr="00716BD3">
        <w:t xml:space="preserve"> was calculated for each trial.</w:t>
      </w:r>
      <w:r w:rsidRPr="00C3042B">
        <w:t xml:space="preserve"> </w:t>
      </w:r>
      <w:r>
        <w:t>The relative</w:t>
      </w:r>
      <w:r w:rsidRPr="00C3042B">
        <w:t xml:space="preserve"> </w:t>
      </w:r>
      <w:r>
        <w:t xml:space="preserve">percent tetrazine remaining </w:t>
      </w:r>
      <w:bookmarkStart w:id="2" w:name="OLE_LINK39"/>
      <w:r>
        <w:t xml:space="preserve">can </w:t>
      </w:r>
      <w:r w:rsidRPr="00C3042B">
        <w:t xml:space="preserve">be seen </w:t>
      </w:r>
      <w:r w:rsidR="00A97BD3" w:rsidRPr="009B6709">
        <w:rPr>
          <w:kern w:val="0"/>
          <w:szCs w:val="24"/>
        </w:rPr>
        <w:t xml:space="preserve">Figure </w:t>
      </w:r>
      <w:r w:rsidR="00A97BD3">
        <w:rPr>
          <w:kern w:val="0"/>
          <w:szCs w:val="24"/>
        </w:rPr>
        <w:t>G</w:t>
      </w:r>
      <w:bookmarkEnd w:id="2"/>
      <w:r w:rsidR="005D3404">
        <w:t>,</w:t>
      </w:r>
      <w:r w:rsidRPr="00C3042B">
        <w:t xml:space="preserve"> whe</w:t>
      </w:r>
      <w:r>
        <w:t xml:space="preserve">re the error </w:t>
      </w:r>
      <w:r w:rsidR="00BE6137">
        <w:t xml:space="preserve">was </w:t>
      </w:r>
      <w:r>
        <w:t xml:space="preserve">the standard </w:t>
      </w:r>
      <w:r w:rsidRPr="00C3042B">
        <w:t>deviation of the three trials.</w:t>
      </w:r>
    </w:p>
    <w:p w:rsidR="00C0735D" w:rsidRDefault="00C0735D" w:rsidP="00C0735D">
      <w:pPr>
        <w:ind w:firstLine="360"/>
      </w:pPr>
    </w:p>
    <w:p w:rsidR="00C2367C" w:rsidRPr="00C0735D" w:rsidRDefault="00C2367C" w:rsidP="00C0735D">
      <w:pPr>
        <w:ind w:firstLineChars="0" w:firstLine="0"/>
      </w:pPr>
      <w:r w:rsidRPr="009D7003">
        <w:rPr>
          <w:b/>
          <w:kern w:val="0"/>
          <w:sz w:val="28"/>
          <w:szCs w:val="28"/>
        </w:rPr>
        <w:t>Kinetic Experiments of the reaction between 2 and 3</w:t>
      </w:r>
    </w:p>
    <w:p w:rsidR="00C2367C" w:rsidRPr="00E4245E" w:rsidRDefault="00C2367C" w:rsidP="00C0735D">
      <w:pPr>
        <w:ind w:firstLine="360"/>
      </w:pPr>
      <w:r w:rsidRPr="00E4245E">
        <w:t xml:space="preserve">All kinetic experiments were conducted under </w:t>
      </w:r>
      <w:bookmarkStart w:id="3" w:name="OLE_LINK12"/>
      <w:bookmarkStart w:id="4" w:name="OLE_LINK13"/>
      <w:r w:rsidRPr="00E4245E">
        <w:t>pseudo</w:t>
      </w:r>
      <w:bookmarkEnd w:id="3"/>
      <w:bookmarkEnd w:id="4"/>
      <w:r w:rsidRPr="00E4245E">
        <w:t xml:space="preserve">-first order conditions. The pseudo first order rate constants were obtained by plotting the natural log of the concentration of the limiting reactant versus time in seconds. The second-order rate constants and half-lives were extrapolated from the rate measurements derived under pseudo-first order conditions. </w:t>
      </w:r>
      <w:bookmarkStart w:id="5" w:name="OLE_LINK24"/>
      <w:bookmarkStart w:id="6" w:name="OLE_LINK25"/>
    </w:p>
    <w:p w:rsidR="00D232E0" w:rsidRDefault="00C2367C" w:rsidP="00265771">
      <w:pPr>
        <w:ind w:firstLine="360"/>
      </w:pPr>
      <w:r w:rsidRPr="008B3AFE">
        <w:t xml:space="preserve">As illustrated in </w:t>
      </w:r>
      <w:r w:rsidR="00B0274F">
        <w:t>Fig</w:t>
      </w:r>
      <w:r w:rsidR="003543BC">
        <w:t>.</w:t>
      </w:r>
      <w:r w:rsidR="00B0274F">
        <w:t xml:space="preserve"> 1</w:t>
      </w:r>
      <w:r w:rsidRPr="008B3AFE">
        <w:t>,</w:t>
      </w:r>
      <w:bookmarkEnd w:id="5"/>
      <w:bookmarkEnd w:id="6"/>
      <w:r>
        <w:t xml:space="preserve"> </w:t>
      </w:r>
      <w:r w:rsidRPr="008B3AFE">
        <w:t>the</w:t>
      </w:r>
      <w:r w:rsidR="00D07D44">
        <w:t xml:space="preserve"> </w:t>
      </w:r>
      <w:proofErr w:type="spellStart"/>
      <w:r w:rsidR="005643CE" w:rsidRPr="000C7161">
        <w:t>isopyknic</w:t>
      </w:r>
      <w:proofErr w:type="spellEnd"/>
      <w:r w:rsidR="005643CE">
        <w:t xml:space="preserve"> </w:t>
      </w:r>
      <w:r>
        <w:t>PBS</w:t>
      </w:r>
      <w:r w:rsidR="00D07D44">
        <w:t xml:space="preserve"> </w:t>
      </w:r>
      <w:r w:rsidRPr="008B3AFE">
        <w:t xml:space="preserve">of </w:t>
      </w:r>
      <w:r>
        <w:rPr>
          <w:b/>
        </w:rPr>
        <w:t>2</w:t>
      </w:r>
      <w:r>
        <w:t xml:space="preserve"> (0.4 mmol) and </w:t>
      </w:r>
      <w:r w:rsidRPr="008B3AFE">
        <w:rPr>
          <w:b/>
        </w:rPr>
        <w:t>3</w:t>
      </w:r>
      <w:r>
        <w:t xml:space="preserve"> (4 mmol</w:t>
      </w:r>
      <w:r w:rsidRPr="008B3AFE">
        <w:t xml:space="preserve">) </w:t>
      </w:r>
      <w:r w:rsidR="000C7161">
        <w:t xml:space="preserve">were mixed </w:t>
      </w:r>
      <w:r w:rsidRPr="008B3AFE">
        <w:t xml:space="preserve">into the cuvette at room temperature. The absorption spectrum of the starting material </w:t>
      </w:r>
      <w:r w:rsidRPr="008B3AFE">
        <w:rPr>
          <w:b/>
        </w:rPr>
        <w:t>2</w:t>
      </w:r>
      <w:r w:rsidRPr="008B3AFE">
        <w:t xml:space="preserve"> under the abs</w:t>
      </w:r>
      <w:r>
        <w:t>orption peak at 523 nm</w:t>
      </w:r>
      <w:r w:rsidRPr="008B3AFE">
        <w:t>, because the product</w:t>
      </w:r>
      <w:r w:rsidRPr="008B3AFE">
        <w:rPr>
          <w:b/>
        </w:rPr>
        <w:t xml:space="preserve"> 4</w:t>
      </w:r>
      <w:r w:rsidRPr="008B3AFE">
        <w:t xml:space="preserve"> and its isomers</w:t>
      </w:r>
      <w:r>
        <w:t xml:space="preserve"> had no absorption at 523</w:t>
      </w:r>
      <w:r w:rsidRPr="008B3AFE">
        <w:t xml:space="preserve">nm. </w:t>
      </w:r>
      <w:r w:rsidR="00C43F44">
        <w:t>T</w:t>
      </w:r>
      <w:r w:rsidR="00C43F44" w:rsidRPr="008B3AFE">
        <w:t xml:space="preserve">he </w:t>
      </w:r>
      <w:r w:rsidRPr="008B3AFE">
        <w:t xml:space="preserve">absorbance value was recorded every 20 </w:t>
      </w:r>
      <w:r>
        <w:t>seconds</w:t>
      </w:r>
      <w:r w:rsidR="009430C6">
        <w:t xml:space="preserve"> to monitor the change of </w:t>
      </w:r>
      <w:r w:rsidR="009430C6" w:rsidRPr="008B3AFE">
        <w:t xml:space="preserve">absorbance spectrum </w:t>
      </w:r>
      <w:r w:rsidR="00E2066B">
        <w:t>as the reaction progress</w:t>
      </w:r>
      <w:r>
        <w:t>. An exponential curve was</w:t>
      </w:r>
      <w:r w:rsidRPr="008B3AFE">
        <w:t xml:space="preserve"> used for calculating the reaction rate, the calculated pseudo first order reaction constant </w:t>
      </w:r>
      <w:proofErr w:type="spellStart"/>
      <w:r w:rsidRPr="007841FA">
        <w:rPr>
          <w:i/>
        </w:rPr>
        <w:t>k</w:t>
      </w:r>
      <w:r w:rsidRPr="008B3AFE">
        <w:rPr>
          <w:vertAlign w:val="subscript"/>
        </w:rPr>
        <w:t>obs</w:t>
      </w:r>
      <w:proofErr w:type="spellEnd"/>
      <w:r w:rsidRPr="008B3AFE">
        <w:rPr>
          <w:vertAlign w:val="subscript"/>
        </w:rPr>
        <w:t xml:space="preserve"> </w:t>
      </w:r>
      <w:r>
        <w:t xml:space="preserve">= 2.678 </w:t>
      </w:r>
      <w:r>
        <w:sym w:font="Symbol" w:char="F0B4"/>
      </w:r>
      <w:r>
        <w:rPr>
          <w:rFonts w:ascii="宋体" w:hAnsi="宋体"/>
        </w:rPr>
        <w:t xml:space="preserve"> </w:t>
      </w:r>
      <w:r w:rsidRPr="008B3AFE">
        <w:t>10</w:t>
      </w:r>
      <w:r>
        <w:rPr>
          <w:vertAlign w:val="superscript"/>
        </w:rPr>
        <w:t>-3</w:t>
      </w:r>
      <w:r w:rsidRPr="00A14A62">
        <w:t xml:space="preserve"> </w:t>
      </w:r>
      <w:r>
        <w:sym w:font="Symbol" w:char="F0B1"/>
      </w:r>
      <w:r>
        <w:rPr>
          <w:rFonts w:ascii="宋体" w:hAnsi="宋体" w:hint="eastAsia"/>
        </w:rPr>
        <w:t xml:space="preserve"> </w:t>
      </w:r>
      <w:r>
        <w:t xml:space="preserve">6 </w:t>
      </w:r>
      <w:r>
        <w:sym w:font="Symbol" w:char="F0B4"/>
      </w:r>
      <w:r>
        <w:rPr>
          <w:rFonts w:ascii="宋体" w:hAnsi="宋体"/>
        </w:rPr>
        <w:t xml:space="preserve"> </w:t>
      </w:r>
      <w:r w:rsidRPr="008B3AFE">
        <w:t>10</w:t>
      </w:r>
      <w:r w:rsidRPr="008B3AFE">
        <w:rPr>
          <w:vertAlign w:val="superscript"/>
        </w:rPr>
        <w:t>-6</w:t>
      </w:r>
      <w:r>
        <w:t xml:space="preserve"> </w:t>
      </w:r>
      <w:r w:rsidRPr="00A042D5">
        <w:rPr>
          <w:vertAlign w:val="subscript"/>
        </w:rPr>
        <w:t>M</w:t>
      </w:r>
      <w:r w:rsidRPr="008B3AFE">
        <w:rPr>
          <w:vertAlign w:val="superscript"/>
        </w:rPr>
        <w:t>-1</w:t>
      </w:r>
      <w:r w:rsidRPr="00727AE0">
        <w:sym w:font="Symbol" w:char="F0D7"/>
      </w:r>
      <w:r w:rsidRPr="00A042D5">
        <w:rPr>
          <w:vertAlign w:val="subscript"/>
        </w:rPr>
        <w:t>S</w:t>
      </w:r>
      <w:r w:rsidRPr="008B3AFE">
        <w:rPr>
          <w:vertAlign w:val="superscript"/>
        </w:rPr>
        <w:t>-1</w:t>
      </w:r>
      <w:r>
        <w:t xml:space="preserve">, </w:t>
      </w:r>
      <w:r w:rsidRPr="008B3AFE">
        <w:t>the half-life t</w:t>
      </w:r>
      <w:r w:rsidRPr="008B3AFE">
        <w:rPr>
          <w:vertAlign w:val="subscript"/>
        </w:rPr>
        <w:t xml:space="preserve">1/2 </w:t>
      </w:r>
      <w:r w:rsidRPr="008B3AFE">
        <w:t xml:space="preserve">= 260 s, and further calculations obtained second-order reaction rate constant </w:t>
      </w:r>
      <w:proofErr w:type="gramStart"/>
      <w:r w:rsidRPr="007841FA">
        <w:rPr>
          <w:i/>
        </w:rPr>
        <w:t>k</w:t>
      </w:r>
      <w:r w:rsidRPr="008B3AFE">
        <w:rPr>
          <w:vertAlign w:val="subscript"/>
        </w:rPr>
        <w:t>2</w:t>
      </w:r>
      <w:proofErr w:type="gramEnd"/>
      <w:r w:rsidRPr="008B3AFE">
        <w:rPr>
          <w:vertAlign w:val="subscript"/>
        </w:rPr>
        <w:t xml:space="preserve"> </w:t>
      </w:r>
      <w:r>
        <w:t xml:space="preserve">= 1.339 </w:t>
      </w:r>
      <w:r>
        <w:sym w:font="Symbol" w:char="F0B1"/>
      </w:r>
      <w:r>
        <w:rPr>
          <w:rFonts w:ascii="宋体" w:hAnsi="宋体"/>
        </w:rPr>
        <w:t xml:space="preserve"> </w:t>
      </w:r>
      <w:r>
        <w:t>0.003</w:t>
      </w:r>
      <w:r w:rsidRPr="008B3AFE">
        <w:t xml:space="preserve"> </w:t>
      </w:r>
      <w:r w:rsidRPr="00A042D5">
        <w:rPr>
          <w:vertAlign w:val="subscript"/>
        </w:rPr>
        <w:t>M</w:t>
      </w:r>
      <w:r w:rsidRPr="008B3AFE">
        <w:rPr>
          <w:vertAlign w:val="superscript"/>
        </w:rPr>
        <w:t>-1</w:t>
      </w:r>
      <w:r w:rsidRPr="00727AE0">
        <w:sym w:font="Symbol" w:char="F0D7"/>
      </w:r>
      <w:r w:rsidRPr="00A042D5">
        <w:rPr>
          <w:vertAlign w:val="subscript"/>
        </w:rPr>
        <w:t>S</w:t>
      </w:r>
      <w:r w:rsidRPr="008B3AFE">
        <w:rPr>
          <w:vertAlign w:val="superscript"/>
        </w:rPr>
        <w:t>-1</w:t>
      </w:r>
      <w:r>
        <w:t xml:space="preserve"> (</w:t>
      </w:r>
      <w:r w:rsidR="00777104" w:rsidRPr="009B6709">
        <w:rPr>
          <w:kern w:val="0"/>
          <w:szCs w:val="24"/>
        </w:rPr>
        <w:t xml:space="preserve">Figure </w:t>
      </w:r>
      <w:r w:rsidR="00777104">
        <w:rPr>
          <w:kern w:val="0"/>
          <w:szCs w:val="24"/>
        </w:rPr>
        <w:t>H</w:t>
      </w:r>
      <w:r w:rsidRPr="008B3AFE">
        <w:t>).</w:t>
      </w:r>
      <w:bookmarkStart w:id="7" w:name="OLE_LINK38"/>
      <w:r>
        <w:t xml:space="preserve"> </w:t>
      </w:r>
    </w:p>
    <w:p w:rsidR="00C9537B" w:rsidRDefault="00C2367C" w:rsidP="00265771">
      <w:pPr>
        <w:ind w:firstLine="360"/>
      </w:pPr>
      <w:r>
        <w:t xml:space="preserve">ESI-MS (m/z, </w:t>
      </w:r>
      <w:r w:rsidR="00777104" w:rsidRPr="009B6709">
        <w:rPr>
          <w:kern w:val="0"/>
          <w:szCs w:val="24"/>
        </w:rPr>
        <w:t xml:space="preserve">Figure </w:t>
      </w:r>
      <w:r w:rsidR="00777104">
        <w:rPr>
          <w:kern w:val="0"/>
          <w:szCs w:val="24"/>
        </w:rPr>
        <w:t>I</w:t>
      </w:r>
      <w:r w:rsidRPr="008B3AFE">
        <w:t xml:space="preserve">): </w:t>
      </w:r>
      <w:proofErr w:type="spellStart"/>
      <w:r w:rsidRPr="008B3AFE">
        <w:t>calcd</w:t>
      </w:r>
      <w:proofErr w:type="spellEnd"/>
      <w:r w:rsidRPr="008B3AFE">
        <w:t xml:space="preserve">. </w:t>
      </w:r>
      <w:proofErr w:type="gramStart"/>
      <w:r w:rsidRPr="008B3AFE">
        <w:t>for</w:t>
      </w:r>
      <w:proofErr w:type="gramEnd"/>
      <w:r w:rsidRPr="008B3AFE">
        <w:t xml:space="preserve"> C</w:t>
      </w:r>
      <w:r w:rsidRPr="008B3AFE">
        <w:rPr>
          <w:vertAlign w:val="subscript"/>
        </w:rPr>
        <w:t>19</w:t>
      </w:r>
      <w:r w:rsidRPr="008B3AFE">
        <w:t>H</w:t>
      </w:r>
      <w:r w:rsidRPr="008B3AFE">
        <w:rPr>
          <w:vertAlign w:val="subscript"/>
        </w:rPr>
        <w:t>21</w:t>
      </w:r>
      <w:r w:rsidRPr="008B3AFE">
        <w:t>N</w:t>
      </w:r>
      <w:r w:rsidRPr="008B3AFE">
        <w:rPr>
          <w:vertAlign w:val="subscript"/>
        </w:rPr>
        <w:t>3</w:t>
      </w:r>
      <w:r w:rsidRPr="008B3AFE">
        <w:t>O</w:t>
      </w:r>
      <w:r w:rsidRPr="008B3AFE">
        <w:rPr>
          <w:vertAlign w:val="subscript"/>
        </w:rPr>
        <w:t>4</w:t>
      </w:r>
      <w:r w:rsidRPr="008B3AFE">
        <w:t xml:space="preserve"> 355.15; found [M + H]</w:t>
      </w:r>
      <w:r w:rsidRPr="008B3AFE">
        <w:rPr>
          <w:vertAlign w:val="superscript"/>
        </w:rPr>
        <w:t>+</w:t>
      </w:r>
      <w:r>
        <w:t>: 356.16</w:t>
      </w:r>
      <w:bookmarkEnd w:id="7"/>
      <w:r>
        <w:t>,</w:t>
      </w:r>
      <w:r w:rsidRPr="008B3AFE">
        <w:t xml:space="preserve"> </w:t>
      </w:r>
      <w:r>
        <w:t>[2M + H]</w:t>
      </w:r>
      <w:r w:rsidRPr="00EF1E6A">
        <w:rPr>
          <w:vertAlign w:val="superscript"/>
        </w:rPr>
        <w:t>+</w:t>
      </w:r>
      <w:r>
        <w:t>: 711.31,</w:t>
      </w:r>
      <w:r w:rsidRPr="00EF1E6A">
        <w:t xml:space="preserve"> [</w:t>
      </w:r>
      <w:r>
        <w:t>3M + H]</w:t>
      </w:r>
      <w:r w:rsidRPr="00EF1E6A">
        <w:rPr>
          <w:vertAlign w:val="superscript"/>
        </w:rPr>
        <w:t>+</w:t>
      </w:r>
      <w:r>
        <w:t>: 1066.44</w:t>
      </w:r>
      <w:r w:rsidRPr="00EF1E6A">
        <w:t>.</w:t>
      </w:r>
    </w:p>
    <w:p w:rsidR="008D54A0" w:rsidRDefault="008D54A0" w:rsidP="00265771">
      <w:pPr>
        <w:ind w:firstLine="360"/>
      </w:pPr>
    </w:p>
    <w:p w:rsidR="008D54A0" w:rsidRDefault="008D54A0" w:rsidP="00265771">
      <w:pPr>
        <w:ind w:firstLine="360"/>
      </w:pPr>
    </w:p>
    <w:p w:rsidR="001F13B3" w:rsidRDefault="001F13B3" w:rsidP="00265771">
      <w:pPr>
        <w:ind w:firstLine="360"/>
      </w:pPr>
    </w:p>
    <w:p w:rsidR="001F13B3" w:rsidRDefault="001F13B3" w:rsidP="001F13B3">
      <w:pPr>
        <w:widowControl/>
        <w:ind w:firstLine="361"/>
        <w:rPr>
          <w:b/>
          <w:noProof/>
          <w:kern w:val="0"/>
          <w:szCs w:val="24"/>
        </w:rPr>
      </w:pPr>
      <w:r>
        <w:rPr>
          <w:b/>
          <w:noProof/>
          <w:kern w:val="0"/>
          <w:szCs w:val="24"/>
        </w:rPr>
        <w:drawing>
          <wp:inline distT="0" distB="0" distL="0" distR="0" wp14:anchorId="7C275AE4" wp14:editId="0CD6D3AB">
            <wp:extent cx="5219700" cy="2362200"/>
            <wp:effectExtent l="0" t="0" r="0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3B3" w:rsidRDefault="001F13B3" w:rsidP="001F13B3">
      <w:pPr>
        <w:widowControl/>
        <w:ind w:firstLine="361"/>
        <w:rPr>
          <w:b/>
          <w:kern w:val="0"/>
          <w:szCs w:val="24"/>
        </w:rPr>
      </w:pPr>
    </w:p>
    <w:p w:rsidR="001F13B3" w:rsidRDefault="00521CC8" w:rsidP="00B0274F">
      <w:pPr>
        <w:widowControl/>
        <w:ind w:firstLineChars="62" w:firstLine="149"/>
        <w:rPr>
          <w:b/>
          <w:kern w:val="0"/>
          <w:szCs w:val="24"/>
        </w:rPr>
      </w:pPr>
      <w:r w:rsidRPr="00B0274F">
        <w:rPr>
          <w:b/>
          <w:kern w:val="0"/>
          <w:szCs w:val="24"/>
        </w:rPr>
        <w:t xml:space="preserve">Figure </w:t>
      </w:r>
      <w:r w:rsidR="005E0EFE">
        <w:rPr>
          <w:b/>
          <w:kern w:val="0"/>
          <w:szCs w:val="24"/>
        </w:rPr>
        <w:t>F</w:t>
      </w:r>
      <w:r w:rsidR="001F13B3" w:rsidRPr="00F76B10">
        <w:rPr>
          <w:b/>
          <w:kern w:val="0"/>
          <w:szCs w:val="24"/>
          <w:lang w:eastAsia="ja-JP"/>
        </w:rPr>
        <w:t>.</w:t>
      </w:r>
      <w:r w:rsidR="001F13B3" w:rsidRPr="00522150">
        <w:t xml:space="preserve"> </w:t>
      </w:r>
      <w:r w:rsidR="001F13B3" w:rsidRPr="00522150">
        <w:rPr>
          <w:kern w:val="0"/>
          <w:szCs w:val="24"/>
          <w:lang w:eastAsia="ja-JP"/>
        </w:rPr>
        <w:t xml:space="preserve">UV-vis </w:t>
      </w:r>
      <w:r w:rsidR="001F13B3" w:rsidRPr="00522150">
        <w:rPr>
          <w:kern w:val="0"/>
          <w:szCs w:val="24"/>
        </w:rPr>
        <w:t xml:space="preserve">absorption spectrum of compound </w:t>
      </w:r>
      <w:r w:rsidR="001F13B3" w:rsidRPr="00427880">
        <w:rPr>
          <w:b/>
          <w:kern w:val="0"/>
          <w:szCs w:val="24"/>
        </w:rPr>
        <w:t>2</w:t>
      </w:r>
    </w:p>
    <w:p w:rsidR="001F13B3" w:rsidRDefault="001F13B3" w:rsidP="00265771">
      <w:pPr>
        <w:ind w:firstLine="360"/>
      </w:pPr>
    </w:p>
    <w:p w:rsidR="001F13B3" w:rsidRPr="001F13B3" w:rsidRDefault="001F13B3" w:rsidP="00265771">
      <w:pPr>
        <w:ind w:firstLine="360"/>
      </w:pPr>
    </w:p>
    <w:p w:rsidR="008D54A0" w:rsidRPr="008B3AFE" w:rsidRDefault="008D54A0" w:rsidP="008D54A0">
      <w:pPr>
        <w:widowControl/>
        <w:ind w:firstLine="361"/>
        <w:rPr>
          <w:b/>
          <w:kern w:val="0"/>
          <w:szCs w:val="24"/>
        </w:rPr>
      </w:pPr>
      <w:r>
        <w:rPr>
          <w:b/>
          <w:noProof/>
          <w:kern w:val="0"/>
          <w:szCs w:val="24"/>
        </w:rPr>
        <w:drawing>
          <wp:inline distT="0" distB="0" distL="0" distR="0" wp14:anchorId="3EF32C6C" wp14:editId="11FC1303">
            <wp:extent cx="5219700" cy="3476625"/>
            <wp:effectExtent l="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4A0" w:rsidRDefault="005E0EFE" w:rsidP="00061DBB">
      <w:pPr>
        <w:autoSpaceDE w:val="0"/>
        <w:autoSpaceDN w:val="0"/>
        <w:adjustRightInd w:val="0"/>
        <w:ind w:firstLineChars="0" w:firstLine="0"/>
        <w:rPr>
          <w:b/>
          <w:kern w:val="0"/>
          <w:szCs w:val="24"/>
        </w:rPr>
      </w:pPr>
      <w:r w:rsidRPr="009B6709">
        <w:rPr>
          <w:b/>
          <w:kern w:val="0"/>
          <w:szCs w:val="24"/>
        </w:rPr>
        <w:t xml:space="preserve">Figure </w:t>
      </w:r>
      <w:r>
        <w:rPr>
          <w:b/>
          <w:kern w:val="0"/>
          <w:szCs w:val="24"/>
        </w:rPr>
        <w:t>G</w:t>
      </w:r>
      <w:r w:rsidR="008D54A0" w:rsidRPr="00F76B10">
        <w:rPr>
          <w:b/>
          <w:kern w:val="0"/>
          <w:szCs w:val="24"/>
        </w:rPr>
        <w:t>.</w:t>
      </w:r>
      <w:r w:rsidR="008D54A0" w:rsidRPr="006E4329">
        <w:rPr>
          <w:kern w:val="0"/>
          <w:szCs w:val="24"/>
        </w:rPr>
        <w:t xml:space="preserve"> The stability of </w:t>
      </w:r>
      <w:r w:rsidR="008D54A0" w:rsidRPr="00114418">
        <w:rPr>
          <w:b/>
          <w:kern w:val="0"/>
          <w:szCs w:val="24"/>
        </w:rPr>
        <w:t>2</w:t>
      </w:r>
      <w:r w:rsidR="008D54A0" w:rsidRPr="006E4329">
        <w:rPr>
          <w:kern w:val="0"/>
          <w:szCs w:val="24"/>
        </w:rPr>
        <w:t xml:space="preserve"> in PBS at 20.0 ± 0.1 °C monitored at 523 nm. After 6 h, a 3.3</w:t>
      </w:r>
      <w:r w:rsidR="008D54A0">
        <w:rPr>
          <w:kern w:val="0"/>
          <w:szCs w:val="24"/>
        </w:rPr>
        <w:t xml:space="preserve"> </w:t>
      </w:r>
      <w:r w:rsidR="008D54A0" w:rsidRPr="006E4329">
        <w:rPr>
          <w:kern w:val="0"/>
          <w:szCs w:val="24"/>
        </w:rPr>
        <w:t xml:space="preserve">% decrease in absorption </w:t>
      </w:r>
      <w:r w:rsidR="008D54A0">
        <w:rPr>
          <w:kern w:val="0"/>
          <w:szCs w:val="24"/>
        </w:rPr>
        <w:t>was</w:t>
      </w:r>
      <w:r w:rsidR="008D54A0" w:rsidRPr="006E4329">
        <w:rPr>
          <w:kern w:val="0"/>
          <w:szCs w:val="24"/>
        </w:rPr>
        <w:t xml:space="preserve"> observed.</w:t>
      </w:r>
      <w:r w:rsidR="008D54A0">
        <w:rPr>
          <w:b/>
          <w:kern w:val="0"/>
          <w:szCs w:val="24"/>
        </w:rPr>
        <w:br w:type="page"/>
      </w:r>
      <w:r w:rsidR="008D54A0">
        <w:rPr>
          <w:noProof/>
          <w:kern w:val="0"/>
          <w:szCs w:val="24"/>
        </w:rPr>
        <w:lastRenderedPageBreak/>
        <w:drawing>
          <wp:inline distT="0" distB="0" distL="0" distR="0" wp14:anchorId="0E722386" wp14:editId="4BC97F74">
            <wp:extent cx="5219700" cy="3343275"/>
            <wp:effectExtent l="0" t="0" r="0" b="0"/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4" r="10164" b="5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4A0" w:rsidRDefault="005E0EFE" w:rsidP="00061DBB">
      <w:pPr>
        <w:autoSpaceDE w:val="0"/>
        <w:autoSpaceDN w:val="0"/>
        <w:adjustRightInd w:val="0"/>
        <w:ind w:firstLineChars="0" w:firstLine="0"/>
        <w:rPr>
          <w:kern w:val="0"/>
          <w:szCs w:val="24"/>
        </w:rPr>
      </w:pPr>
      <w:r w:rsidRPr="009B6709">
        <w:rPr>
          <w:b/>
          <w:kern w:val="0"/>
          <w:szCs w:val="24"/>
        </w:rPr>
        <w:t xml:space="preserve">Figure </w:t>
      </w:r>
      <w:r>
        <w:rPr>
          <w:b/>
          <w:kern w:val="0"/>
          <w:szCs w:val="24"/>
        </w:rPr>
        <w:t>H</w:t>
      </w:r>
      <w:r w:rsidR="008D54A0" w:rsidRPr="00F76B10">
        <w:rPr>
          <w:b/>
          <w:kern w:val="0"/>
          <w:szCs w:val="24"/>
        </w:rPr>
        <w:t>.</w:t>
      </w:r>
      <w:r w:rsidR="008D54A0" w:rsidRPr="008A10C7">
        <w:rPr>
          <w:kern w:val="0"/>
          <w:szCs w:val="24"/>
        </w:rPr>
        <w:t xml:space="preserve"> Kinetics of the reaction of </w:t>
      </w:r>
      <w:r w:rsidR="008D54A0" w:rsidRPr="00114418">
        <w:rPr>
          <w:b/>
          <w:kern w:val="0"/>
          <w:szCs w:val="24"/>
        </w:rPr>
        <w:t>2</w:t>
      </w:r>
      <w:r w:rsidR="008D54A0" w:rsidRPr="008A10C7">
        <w:rPr>
          <w:kern w:val="0"/>
          <w:szCs w:val="24"/>
        </w:rPr>
        <w:t xml:space="preserve"> (0.4 mM) </w:t>
      </w:r>
      <w:r w:rsidR="008D54A0">
        <w:rPr>
          <w:rFonts w:hint="eastAsia"/>
          <w:kern w:val="0"/>
          <w:szCs w:val="24"/>
        </w:rPr>
        <w:t>and</w:t>
      </w:r>
      <w:r w:rsidR="008D54A0" w:rsidRPr="00114418">
        <w:rPr>
          <w:b/>
          <w:kern w:val="0"/>
          <w:szCs w:val="24"/>
        </w:rPr>
        <w:t xml:space="preserve"> 3</w:t>
      </w:r>
      <w:r w:rsidR="008D54A0" w:rsidRPr="008A10C7">
        <w:rPr>
          <w:kern w:val="0"/>
          <w:szCs w:val="24"/>
        </w:rPr>
        <w:t xml:space="preserve"> (4 mM) in deionized water, monitored by UV-vis at 523 nm. Kinetic runs were performed in triplicate (all data </w:t>
      </w:r>
      <w:r w:rsidR="008D54A0">
        <w:rPr>
          <w:kern w:val="0"/>
          <w:szCs w:val="24"/>
        </w:rPr>
        <w:t>was</w:t>
      </w:r>
      <w:r w:rsidR="008D54A0" w:rsidRPr="008A10C7">
        <w:rPr>
          <w:kern w:val="0"/>
          <w:szCs w:val="24"/>
        </w:rPr>
        <w:t xml:space="preserve"> shown above) and fitted to an observed first-order rate constant (</w:t>
      </w:r>
      <w:proofErr w:type="spellStart"/>
      <w:r w:rsidR="008D54A0" w:rsidRPr="008A10C7">
        <w:rPr>
          <w:kern w:val="0"/>
          <w:szCs w:val="24"/>
        </w:rPr>
        <w:t>kobs</w:t>
      </w:r>
      <w:proofErr w:type="spellEnd"/>
      <w:r w:rsidR="008D54A0" w:rsidRPr="008A10C7">
        <w:rPr>
          <w:kern w:val="0"/>
          <w:szCs w:val="24"/>
        </w:rPr>
        <w:t>), which was used to calculate the second order rate constant.</w:t>
      </w:r>
    </w:p>
    <w:p w:rsidR="008D54A0" w:rsidRDefault="008D54A0" w:rsidP="008D54A0">
      <w:pPr>
        <w:autoSpaceDE w:val="0"/>
        <w:autoSpaceDN w:val="0"/>
        <w:adjustRightInd w:val="0"/>
        <w:ind w:firstLine="360"/>
        <w:rPr>
          <w:kern w:val="0"/>
          <w:szCs w:val="24"/>
        </w:rPr>
      </w:pPr>
    </w:p>
    <w:p w:rsidR="008D54A0" w:rsidRDefault="008D54A0" w:rsidP="008D54A0">
      <w:pPr>
        <w:widowControl/>
        <w:ind w:firstLine="361"/>
        <w:jc w:val="center"/>
        <w:rPr>
          <w:b/>
          <w:kern w:val="0"/>
          <w:szCs w:val="24"/>
        </w:rPr>
      </w:pPr>
      <w:r>
        <w:rPr>
          <w:b/>
          <w:noProof/>
          <w:kern w:val="0"/>
          <w:szCs w:val="24"/>
        </w:rPr>
        <w:drawing>
          <wp:inline distT="0" distB="0" distL="0" distR="0" wp14:anchorId="0C2B72B0" wp14:editId="79DB92D7">
            <wp:extent cx="5219700" cy="3714750"/>
            <wp:effectExtent l="0" t="0" r="0" b="0"/>
            <wp:docPr id="1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0" t="7089" r="3940" b="8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4A0" w:rsidRPr="008D54A0" w:rsidRDefault="005E0EFE" w:rsidP="00B0274F">
      <w:pPr>
        <w:widowControl/>
        <w:ind w:firstLineChars="62" w:firstLine="149"/>
        <w:rPr>
          <w:kern w:val="0"/>
          <w:szCs w:val="24"/>
        </w:rPr>
      </w:pPr>
      <w:bookmarkStart w:id="8" w:name="_GoBack"/>
      <w:r w:rsidRPr="009B6709">
        <w:rPr>
          <w:b/>
          <w:kern w:val="0"/>
          <w:szCs w:val="24"/>
        </w:rPr>
        <w:t xml:space="preserve">Figure </w:t>
      </w:r>
      <w:r>
        <w:rPr>
          <w:b/>
          <w:kern w:val="0"/>
          <w:szCs w:val="24"/>
        </w:rPr>
        <w:t>I</w:t>
      </w:r>
      <w:r w:rsidR="008D54A0" w:rsidRPr="00F76B10">
        <w:rPr>
          <w:b/>
          <w:kern w:val="0"/>
          <w:szCs w:val="24"/>
        </w:rPr>
        <w:t>.</w:t>
      </w:r>
      <w:r w:rsidR="008D54A0" w:rsidRPr="00870445">
        <w:rPr>
          <w:kern w:val="0"/>
          <w:szCs w:val="24"/>
        </w:rPr>
        <w:t xml:space="preserve"> ESI-MS spectrum of</w:t>
      </w:r>
      <w:r w:rsidR="008D54A0">
        <w:rPr>
          <w:kern w:val="0"/>
          <w:szCs w:val="24"/>
        </w:rPr>
        <w:t xml:space="preserve"> compound</w:t>
      </w:r>
      <w:r w:rsidR="008D54A0" w:rsidRPr="00870445">
        <w:rPr>
          <w:kern w:val="0"/>
          <w:szCs w:val="24"/>
        </w:rPr>
        <w:t xml:space="preserve"> </w:t>
      </w:r>
      <w:r w:rsidR="008D54A0" w:rsidRPr="00870445">
        <w:rPr>
          <w:b/>
          <w:kern w:val="0"/>
          <w:szCs w:val="24"/>
        </w:rPr>
        <w:t>4</w:t>
      </w:r>
      <w:r w:rsidR="008D54A0" w:rsidRPr="00870445">
        <w:rPr>
          <w:kern w:val="0"/>
          <w:szCs w:val="24"/>
        </w:rPr>
        <w:t xml:space="preserve"> and its’ isomers</w:t>
      </w:r>
      <w:bookmarkEnd w:id="8"/>
    </w:p>
    <w:sectPr w:rsidR="008D54A0" w:rsidRPr="008D54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C7"/>
    <w:rsid w:val="00057143"/>
    <w:rsid w:val="00061DBB"/>
    <w:rsid w:val="00082690"/>
    <w:rsid w:val="000B3830"/>
    <w:rsid w:val="000C00CF"/>
    <w:rsid w:val="000C7161"/>
    <w:rsid w:val="00107AC7"/>
    <w:rsid w:val="0011158F"/>
    <w:rsid w:val="001170F3"/>
    <w:rsid w:val="0019446F"/>
    <w:rsid w:val="001A3C62"/>
    <w:rsid w:val="001F13B3"/>
    <w:rsid w:val="002358DE"/>
    <w:rsid w:val="00265771"/>
    <w:rsid w:val="002706DA"/>
    <w:rsid w:val="00307A08"/>
    <w:rsid w:val="003543BC"/>
    <w:rsid w:val="003E1311"/>
    <w:rsid w:val="00413FFF"/>
    <w:rsid w:val="004801D7"/>
    <w:rsid w:val="004C5DCB"/>
    <w:rsid w:val="004F4146"/>
    <w:rsid w:val="00521CC8"/>
    <w:rsid w:val="005643CE"/>
    <w:rsid w:val="0058411D"/>
    <w:rsid w:val="005C2FD5"/>
    <w:rsid w:val="005C598E"/>
    <w:rsid w:val="005C7FDB"/>
    <w:rsid w:val="005D3404"/>
    <w:rsid w:val="005E0EFE"/>
    <w:rsid w:val="00665BBB"/>
    <w:rsid w:val="0067230C"/>
    <w:rsid w:val="006A540F"/>
    <w:rsid w:val="006E4F9B"/>
    <w:rsid w:val="00770127"/>
    <w:rsid w:val="00777104"/>
    <w:rsid w:val="0078670A"/>
    <w:rsid w:val="007C3A57"/>
    <w:rsid w:val="00842BE8"/>
    <w:rsid w:val="00860193"/>
    <w:rsid w:val="0088381F"/>
    <w:rsid w:val="008A5C03"/>
    <w:rsid w:val="008C64B0"/>
    <w:rsid w:val="008D54A0"/>
    <w:rsid w:val="00902A0B"/>
    <w:rsid w:val="00912160"/>
    <w:rsid w:val="00932F12"/>
    <w:rsid w:val="009430C6"/>
    <w:rsid w:val="00A97BD3"/>
    <w:rsid w:val="00B00C9B"/>
    <w:rsid w:val="00B0274F"/>
    <w:rsid w:val="00B06D60"/>
    <w:rsid w:val="00B32A43"/>
    <w:rsid w:val="00BE6137"/>
    <w:rsid w:val="00C0735D"/>
    <w:rsid w:val="00C2367C"/>
    <w:rsid w:val="00C43F44"/>
    <w:rsid w:val="00C772D1"/>
    <w:rsid w:val="00C9537B"/>
    <w:rsid w:val="00CC40D6"/>
    <w:rsid w:val="00CD6F4D"/>
    <w:rsid w:val="00D07D44"/>
    <w:rsid w:val="00D232E0"/>
    <w:rsid w:val="00D31D57"/>
    <w:rsid w:val="00D540D2"/>
    <w:rsid w:val="00DC1AD3"/>
    <w:rsid w:val="00DC2A41"/>
    <w:rsid w:val="00DD6C39"/>
    <w:rsid w:val="00E10340"/>
    <w:rsid w:val="00E2066B"/>
    <w:rsid w:val="00E87ADE"/>
    <w:rsid w:val="00EC5A52"/>
    <w:rsid w:val="00F81A31"/>
    <w:rsid w:val="00FA3A05"/>
    <w:rsid w:val="00FE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9341A-D963-4643-A1F9-3C434F1BC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35D"/>
    <w:pPr>
      <w:widowControl w:val="0"/>
      <w:spacing w:line="360" w:lineRule="auto"/>
      <w:ind w:firstLineChars="150" w:firstLine="150"/>
      <w:jc w:val="both"/>
    </w:pPr>
    <w:rPr>
      <w:rFonts w:ascii="Times New Roman" w:eastAsia="宋体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161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6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Chunbo He</dc:creator>
  <cp:keywords/>
  <dc:description/>
  <cp:lastModifiedBy>Chunbo He</cp:lastModifiedBy>
  <cp:revision>74</cp:revision>
  <dcterms:created xsi:type="dcterms:W3CDTF">2015-07-07T01:48:00Z</dcterms:created>
  <dcterms:modified xsi:type="dcterms:W3CDTF">2015-10-20T03:09:00Z</dcterms:modified>
</cp:coreProperties>
</file>