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8D" w:rsidRPr="00E54008" w:rsidRDefault="0038218D" w:rsidP="00606CEE">
      <w:pPr>
        <w:widowControl/>
        <w:ind w:firstLineChars="0" w:firstLine="0"/>
        <w:rPr>
          <w:b/>
          <w:kern w:val="0"/>
          <w:sz w:val="28"/>
          <w:szCs w:val="24"/>
        </w:rPr>
      </w:pPr>
      <w:r w:rsidRPr="00E54008">
        <w:rPr>
          <w:b/>
          <w:kern w:val="0"/>
          <w:sz w:val="28"/>
          <w:szCs w:val="24"/>
        </w:rPr>
        <w:t>Synthesis of tetrazine-containing amino acid 2</w:t>
      </w:r>
    </w:p>
    <w:p w:rsidR="00E54008" w:rsidRPr="009D712A" w:rsidRDefault="00E54008" w:rsidP="0038218D">
      <w:pPr>
        <w:widowControl/>
        <w:ind w:firstLine="360"/>
        <w:rPr>
          <w:kern w:val="0"/>
          <w:szCs w:val="24"/>
          <w:lang w:eastAsia="ja-JP"/>
        </w:rPr>
      </w:pPr>
    </w:p>
    <w:p w:rsidR="0038218D" w:rsidRDefault="0038218D" w:rsidP="0038218D">
      <w:pPr>
        <w:autoSpaceDE w:val="0"/>
        <w:autoSpaceDN w:val="0"/>
        <w:adjustRightInd w:val="0"/>
        <w:ind w:firstLine="360"/>
      </w:pPr>
      <w:r>
        <w:object w:dxaOrig="5028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77.25pt" o:ole="">
            <v:imagedata r:id="rId4" o:title=""/>
          </v:shape>
          <o:OLEObject Type="Embed" ProgID="ChemDraw.Document.6.0" ShapeID="_x0000_i1025" DrawAspect="Content" ObjectID="_1506844054" r:id="rId5"/>
        </w:object>
      </w:r>
    </w:p>
    <w:p w:rsidR="00E54008" w:rsidRPr="008B3AFE" w:rsidRDefault="00E54008" w:rsidP="0038218D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</w:p>
    <w:p w:rsidR="00A95978" w:rsidRDefault="0038218D" w:rsidP="00606CEE">
      <w:pPr>
        <w:ind w:firstLine="360"/>
      </w:pPr>
      <w:r>
        <w:t xml:space="preserve">Compound </w:t>
      </w:r>
      <w:r w:rsidRPr="00AD022E">
        <w:rPr>
          <w:b/>
        </w:rPr>
        <w:t>2</w:t>
      </w:r>
      <w:r w:rsidRPr="007561AF">
        <w:t xml:space="preserve"> was prepared according to our previous work </w:t>
      </w:r>
      <w:r>
        <w:t xml:space="preserve">in </w:t>
      </w:r>
      <w:r w:rsidR="000718D9">
        <w:t xml:space="preserve">the </w:t>
      </w:r>
      <w:r>
        <w:t>synthesis of tetrazine derivatives</w:t>
      </w:r>
      <w:r w:rsidR="00A054BE">
        <w:t xml:space="preserve"> </w:t>
      </w:r>
      <w:r w:rsidR="00A054BE">
        <w:fldChar w:fldCharType="begin"/>
      </w:r>
      <w:r w:rsidR="00A054BE">
        <w:instrText xml:space="preserve"> ADDIN EN.CITE &lt;EndNote&gt;&lt;Cite&gt;&lt;Author&gt;Sauer&lt;/Author&gt;&lt;Year&gt;1998&lt;/Year&gt;&lt;RecNum&gt;10&lt;/RecNum&gt;&lt;DisplayText&gt;[1]&lt;/DisplayText&gt;&lt;record&gt;&lt;rec-number&gt;10&lt;/rec-number&gt;&lt;foreign-keys&gt;&lt;key app="EN" db-id="ae095p2wjt55p2e9xv15pt2d20w09dera92w" timestamp="1435997808"&gt;10&lt;/key&gt;&lt;/foreign-keys&gt;&lt;ref-type name="Journal Article"&gt;17&lt;/ref-type&gt;&lt;contributors&gt;&lt;authors&gt;&lt;author&gt;Sauer, Jürgen&lt;/author&gt;&lt;author&gt;Heldmann, Dieter K&lt;/author&gt;&lt;author&gt;Hetzenegger, Josef&lt;/author&gt;&lt;author&gt;Krauthan, Josef&lt;/author&gt;&lt;author&gt;Sichert, Heinz&lt;/author&gt;&lt;autho</w:instrText>
      </w:r>
      <w:r w:rsidR="00A054BE">
        <w:rPr>
          <w:rFonts w:hint="eastAsia"/>
        </w:rPr>
        <w:instrText>r&gt;Schuster, Johann&lt;/author&gt;&lt;/authors&gt;&lt;/contributors&gt;&lt;titles&gt;&lt;title&gt;1, 2, 4, 5</w:instrText>
      </w:r>
      <w:r w:rsidR="00A054BE">
        <w:rPr>
          <w:rFonts w:ascii="宋体" w:eastAsia="宋体" w:hAnsi="宋体" w:cs="宋体" w:hint="eastAsia"/>
        </w:rPr>
        <w:instrText>‐</w:instrText>
      </w:r>
      <w:r w:rsidR="00A054BE">
        <w:rPr>
          <w:rFonts w:hint="eastAsia"/>
        </w:rPr>
        <w:instrText>Tetrazine: Synthesis and Reactivity in [4+ 2] Cycloadditions&lt;/title&gt;&lt;secondary-title&gt;European journal of organic chemistry&lt;/secondary-title&gt;&lt;/titles&gt;&lt;periodical&gt;&lt;full-title&gt;Euro</w:instrText>
      </w:r>
      <w:r w:rsidR="00A054BE">
        <w:instrText>pean journal of organic chemistry&lt;/full-title&gt;&lt;/periodical&gt;&lt;pages&gt;2885-2896&lt;/pages&gt;&lt;volume&gt;1998&lt;/volume&gt;&lt;number&gt;12&lt;/number&gt;&lt;dates&gt;&lt;year&gt;1998&lt;/year&gt;&lt;/dates&gt;&lt;isbn&gt;1099-0690&lt;/isbn&gt;&lt;urls&gt;&lt;/urls&gt;&lt;/record&gt;&lt;/Cite&gt;&lt;/EndNote&gt;</w:instrText>
      </w:r>
      <w:r w:rsidR="00A054BE">
        <w:fldChar w:fldCharType="separate"/>
      </w:r>
      <w:r w:rsidR="00A054BE">
        <w:rPr>
          <w:noProof/>
        </w:rPr>
        <w:t>[1]</w:t>
      </w:r>
      <w:r w:rsidR="00A054BE">
        <w:fldChar w:fldCharType="end"/>
      </w:r>
      <w:r>
        <w:t>.</w:t>
      </w:r>
    </w:p>
    <w:p w:rsidR="0038218D" w:rsidRPr="008B3AFE" w:rsidRDefault="0038218D" w:rsidP="00606CEE">
      <w:pPr>
        <w:ind w:firstLine="360"/>
      </w:pPr>
      <w:r>
        <w:t>C</w:t>
      </w:r>
      <w:r w:rsidRPr="008B3AFE">
        <w:t xml:space="preserve">ompound </w:t>
      </w:r>
      <w:r w:rsidRPr="008B3AFE">
        <w:rPr>
          <w:b/>
        </w:rPr>
        <w:t>1</w:t>
      </w:r>
      <w:r w:rsidRPr="008B3AFE">
        <w:t xml:space="preserve"> (</w:t>
      </w:r>
      <w:smartTag w:uri="urn:schemas-microsoft-com:office:smarttags" w:element="chmetcnv">
        <w:smartTagPr>
          <w:attr w:name="UnitName" w:val="g"/>
          <w:attr w:name="SourceValue" w:val="1.43"/>
          <w:attr w:name="HasSpace" w:val="True"/>
          <w:attr w:name="Negative" w:val="False"/>
          <w:attr w:name="NumberType" w:val="1"/>
          <w:attr w:name="TCSC" w:val="0"/>
        </w:smartTagPr>
        <w:r>
          <w:t>1.43</w:t>
        </w:r>
        <w:r w:rsidRPr="008B3AFE">
          <w:t xml:space="preserve"> g</w:t>
        </w:r>
      </w:smartTag>
      <w:r>
        <w:t>, 7.5 mmol</w:t>
      </w:r>
      <w:r w:rsidRPr="008B3AFE">
        <w:t xml:space="preserve">), </w:t>
      </w:r>
      <w:proofErr w:type="spellStart"/>
      <w:r w:rsidRPr="008B3AFE">
        <w:t>formamidine</w:t>
      </w:r>
      <w:proofErr w:type="spellEnd"/>
      <w:r w:rsidRPr="008B3AFE">
        <w:t xml:space="preserve"> acetate (</w:t>
      </w:r>
      <w:smartTag w:uri="urn:schemas-microsoft-com:office:smarttags" w:element="chmetcnv">
        <w:smartTagPr>
          <w:attr w:name="UnitName" w:val="g"/>
          <w:attr w:name="SourceValue" w:val="3.12"/>
          <w:attr w:name="HasSpace" w:val="True"/>
          <w:attr w:name="Negative" w:val="False"/>
          <w:attr w:name="NumberType" w:val="1"/>
          <w:attr w:name="TCSC" w:val="0"/>
        </w:smartTagPr>
        <w:r>
          <w:t>3.12</w:t>
        </w:r>
        <w:r w:rsidRPr="008B3AFE">
          <w:t xml:space="preserve"> g</w:t>
        </w:r>
      </w:smartTag>
      <w:r>
        <w:t>, 30 mmol</w:t>
      </w:r>
      <w:r w:rsidRPr="008B3AFE">
        <w:t>) and sulfur (</w:t>
      </w:r>
      <w:r>
        <w:t>240</w:t>
      </w:r>
      <w:r w:rsidRPr="008B3AFE">
        <w:t xml:space="preserve"> </w:t>
      </w:r>
      <w:r>
        <w:t>m</w:t>
      </w:r>
      <w:r w:rsidRPr="008B3AFE">
        <w:t>g</w:t>
      </w:r>
      <w:r>
        <w:t>, 7.5 mmol</w:t>
      </w:r>
      <w:r w:rsidRPr="008B3AFE">
        <w:t>) were mixed in a round-bottom flask under the protection of nitrogen. Anhydrous hydrazine (</w:t>
      </w:r>
      <w:r>
        <w:t>9.42 ml, 300 mmol) was added to the flask</w:t>
      </w:r>
      <w:r w:rsidRPr="008B3AFE">
        <w:t xml:space="preserve">, and the mixture became yellow viscous </w:t>
      </w:r>
      <w:r w:rsidR="00B03750" w:rsidRPr="008B3AFE">
        <w:t xml:space="preserve">gradually </w:t>
      </w:r>
      <w:r w:rsidR="00503B75">
        <w:t>with stirring for</w:t>
      </w:r>
      <w:r w:rsidR="00503B75" w:rsidRPr="008B3AFE">
        <w:t xml:space="preserve"> </w:t>
      </w:r>
      <w:r>
        <w:t>22 h at room</w:t>
      </w:r>
      <w:r w:rsidRPr="008B3AFE">
        <w:t xml:space="preserve"> t</w:t>
      </w:r>
      <w:r>
        <w:t xml:space="preserve">emperature. We added 45 ml </w:t>
      </w:r>
      <w:r w:rsidRPr="008B3AFE">
        <w:t>acetic acid to dissolve</w:t>
      </w:r>
      <w:r>
        <w:t xml:space="preserve"> the yellow viscous material</w:t>
      </w:r>
      <w:r w:rsidRPr="008B3AFE">
        <w:t xml:space="preserve">, and </w:t>
      </w:r>
      <w:r>
        <w:t xml:space="preserve">then </w:t>
      </w:r>
      <w:r w:rsidRPr="008B3AFE">
        <w:t>obtained the supernatant solution</w:t>
      </w:r>
      <w:r w:rsidRPr="00F45EA5">
        <w:t xml:space="preserve"> after centrifugal settling</w:t>
      </w:r>
      <w:r>
        <w:t xml:space="preserve">. </w:t>
      </w:r>
      <w:r w:rsidR="00F95586" w:rsidRPr="008B3AFE">
        <w:t>M</w:t>
      </w:r>
      <w:r w:rsidRPr="008B3AFE">
        <w:t>ixed sodium nitrite (</w:t>
      </w:r>
      <w:smartTag w:uri="urn:schemas-microsoft-com:office:smarttags" w:element="chmetcnv">
        <w:smartTagPr>
          <w:attr w:name="UnitName" w:val="g"/>
          <w:attr w:name="SourceValue" w:val="2.59"/>
          <w:attr w:name="HasSpace" w:val="True"/>
          <w:attr w:name="Negative" w:val="False"/>
          <w:attr w:name="NumberType" w:val="1"/>
          <w:attr w:name="TCSC" w:val="0"/>
        </w:smartTagPr>
        <w:r>
          <w:t>2.59</w:t>
        </w:r>
        <w:r w:rsidRPr="008B3AFE">
          <w:t xml:space="preserve"> g</w:t>
        </w:r>
      </w:smartTag>
      <w:r>
        <w:t>, 37.5 mmol) in 4</w:t>
      </w:r>
      <w:r w:rsidRPr="008B3AFE">
        <w:t xml:space="preserve">.5 </w:t>
      </w:r>
      <w:r>
        <w:t>ml</w:t>
      </w:r>
      <w:r w:rsidRPr="008B3AFE">
        <w:t xml:space="preserve"> water</w:t>
      </w:r>
      <w:r w:rsidR="00F95586">
        <w:t xml:space="preserve"> </w:t>
      </w:r>
      <w:r w:rsidR="00F95586" w:rsidRPr="008B3AFE">
        <w:t>fully</w:t>
      </w:r>
      <w:r w:rsidRPr="008B3AFE">
        <w:t xml:space="preserve">, and dropped it </w:t>
      </w:r>
      <w:r w:rsidR="005440F5">
        <w:t>in</w:t>
      </w:r>
      <w:r w:rsidRPr="008B3AFE">
        <w:t xml:space="preserve">to the above supernatant solution </w:t>
      </w:r>
      <w:r w:rsidR="001C76D8" w:rsidRPr="008B3AFE">
        <w:t xml:space="preserve">slowly </w:t>
      </w:r>
      <w:r w:rsidRPr="008B3AFE">
        <w:t>under the condition of an ice</w:t>
      </w:r>
      <w:r>
        <w:t>-</w:t>
      </w:r>
      <w:r w:rsidRPr="008B3AFE">
        <w:t xml:space="preserve">water bath, </w:t>
      </w:r>
      <w:r w:rsidR="00E70102">
        <w:t xml:space="preserve">and </w:t>
      </w:r>
      <w:r w:rsidR="004558D9">
        <w:t xml:space="preserve">then </w:t>
      </w:r>
      <w:r w:rsidR="00E70102">
        <w:t>generated a</w:t>
      </w:r>
      <w:r>
        <w:t xml:space="preserve"> purple solution</w:t>
      </w:r>
      <w:r w:rsidR="00E70102" w:rsidRPr="00E70102">
        <w:t xml:space="preserve"> </w:t>
      </w:r>
      <w:r w:rsidR="00E70102" w:rsidRPr="008B3AFE">
        <w:t>after 30 minutes</w:t>
      </w:r>
      <w:r w:rsidR="00E70102">
        <w:t>’ rea</w:t>
      </w:r>
      <w:r w:rsidR="00C619ED">
        <w:t>c</w:t>
      </w:r>
      <w:r w:rsidR="00E70102">
        <w:t>tion</w:t>
      </w:r>
      <w:r>
        <w:t>. E</w:t>
      </w:r>
      <w:r w:rsidRPr="008B3AFE">
        <w:t>vaporated organic solvent out in vacuum condition as far as</w:t>
      </w:r>
      <w:r w:rsidR="00D15C6C">
        <w:t xml:space="preserve"> </w:t>
      </w:r>
      <w:r w:rsidRPr="008B3AFE">
        <w:t xml:space="preserve">possible. </w:t>
      </w:r>
      <w:r w:rsidR="009D660F">
        <w:t>Added</w:t>
      </w:r>
      <w:r w:rsidRPr="00286289">
        <w:t xml:space="preserve"> ethanol </w:t>
      </w:r>
      <w:r>
        <w:t xml:space="preserve">(300 ml) </w:t>
      </w:r>
      <w:r w:rsidRPr="00286289">
        <w:t xml:space="preserve">to the reaction mixture, </w:t>
      </w:r>
      <w:r w:rsidR="00146377" w:rsidRPr="00286289">
        <w:t xml:space="preserve">filtered </w:t>
      </w:r>
      <w:r w:rsidRPr="00286289">
        <w:t xml:space="preserve">the solid </w:t>
      </w:r>
      <w:r>
        <w:t xml:space="preserve">off and washed thoroughly with </w:t>
      </w:r>
      <w:r w:rsidRPr="00286289">
        <w:t>ethanol</w:t>
      </w:r>
      <w:r>
        <w:t xml:space="preserve"> (100 ml</w:t>
      </w:r>
      <w:r w:rsidR="000B33F1">
        <w:t>).</w:t>
      </w:r>
      <w:r w:rsidR="000B33F1" w:rsidRPr="00286289">
        <w:t xml:space="preserve"> </w:t>
      </w:r>
      <w:r w:rsidR="000B33F1">
        <w:t>A</w:t>
      </w:r>
      <w:r w:rsidR="0097766D">
        <w:t>nd finally</w:t>
      </w:r>
      <w:r w:rsidR="000B33F1">
        <w:t>,</w:t>
      </w:r>
      <w:r w:rsidR="0097766D">
        <w:t xml:space="preserve"> </w:t>
      </w:r>
      <w:smartTag w:uri="urn:schemas-microsoft-com:office:smarttags" w:element="chmetcnv">
        <w:smartTagPr>
          <w:attr w:name="UnitName" w:val="g"/>
          <w:attr w:name="SourceValue" w:val="1.19"/>
          <w:attr w:name="HasSpace" w:val="True"/>
          <w:attr w:name="Negative" w:val="False"/>
          <w:attr w:name="NumberType" w:val="1"/>
          <w:attr w:name="TCSC" w:val="0"/>
        </w:smartTagPr>
        <w:r w:rsidRPr="0064455C">
          <w:t>1.19 g</w:t>
        </w:r>
      </w:smartTag>
      <w:r w:rsidRPr="0064455C">
        <w:t xml:space="preserve"> </w:t>
      </w:r>
      <w:r w:rsidR="008E1A4E" w:rsidRPr="0064455C">
        <w:t>purple powder</w:t>
      </w:r>
      <w:r w:rsidR="008E1A4E" w:rsidRPr="00286289">
        <w:t xml:space="preserve"> </w:t>
      </w:r>
      <w:r w:rsidR="0097766D">
        <w:t>(</w:t>
      </w:r>
      <w:r w:rsidR="008E1A4E" w:rsidRPr="00286289">
        <w:t>pure product</w:t>
      </w:r>
      <w:r w:rsidR="008E1A4E">
        <w:t xml:space="preserve"> </w:t>
      </w:r>
      <w:r w:rsidR="008E1A4E" w:rsidRPr="00286289">
        <w:rPr>
          <w:b/>
        </w:rPr>
        <w:t>2</w:t>
      </w:r>
      <w:r w:rsidR="00D514C5">
        <w:rPr>
          <w:b/>
        </w:rPr>
        <w:t xml:space="preserve">, </w:t>
      </w:r>
      <w:r w:rsidR="00FB46FA" w:rsidRPr="00FB46FA">
        <w:rPr>
          <w:kern w:val="0"/>
          <w:szCs w:val="24"/>
        </w:rPr>
        <w:t>Figure A</w:t>
      </w:r>
      <w:r w:rsidR="0097766D">
        <w:t>)</w:t>
      </w:r>
      <w:r w:rsidR="00BE3D2E">
        <w:t xml:space="preserve"> was gained,</w:t>
      </w:r>
      <w:r w:rsidRPr="00286289">
        <w:t xml:space="preserve"> which </w:t>
      </w:r>
      <w:r w:rsidR="00921FAB">
        <w:t>can be</w:t>
      </w:r>
      <w:r w:rsidR="00921FAB" w:rsidRPr="00286289">
        <w:t xml:space="preserve"> </w:t>
      </w:r>
      <w:r w:rsidRPr="00286289">
        <w:t>used in the next step</w:t>
      </w:r>
      <w:r w:rsidR="00921FAB" w:rsidRPr="00921FAB">
        <w:t xml:space="preserve"> </w:t>
      </w:r>
      <w:r w:rsidR="00921FAB" w:rsidRPr="00286289">
        <w:t>without further purification</w:t>
      </w:r>
      <w:r w:rsidRPr="00286289">
        <w:t>.</w:t>
      </w:r>
      <w:r>
        <w:t xml:space="preserve"> Yield</w:t>
      </w:r>
      <w:r w:rsidRPr="008B3AFE">
        <w:t xml:space="preserve"> 64.9</w:t>
      </w:r>
      <w:r>
        <w:t xml:space="preserve"> </w:t>
      </w:r>
      <w:r w:rsidRPr="008B3AFE">
        <w:t>%.</w:t>
      </w:r>
      <w:r w:rsidRPr="00B57A75">
        <w:t xml:space="preserve"> </w:t>
      </w:r>
      <w:proofErr w:type="spellStart"/>
      <w:proofErr w:type="gramStart"/>
      <w:r w:rsidRPr="00B57A75">
        <w:t>R</w:t>
      </w:r>
      <w:r w:rsidRPr="00BB695D">
        <w:rPr>
          <w:vertAlign w:val="subscript"/>
        </w:rPr>
        <w:t>f</w:t>
      </w:r>
      <w:proofErr w:type="spellEnd"/>
      <w:proofErr w:type="gramEnd"/>
      <w:r>
        <w:t xml:space="preserve"> 0.54</w:t>
      </w:r>
      <w:r w:rsidRPr="008B3AFE">
        <w:t xml:space="preserve"> </w:t>
      </w:r>
      <w:r>
        <w:t>(</w:t>
      </w:r>
      <w:r w:rsidRPr="00B57A75">
        <w:t>N-butyl alcohol: glacial acetic acid: water</w:t>
      </w:r>
      <w:r>
        <w:t xml:space="preserve"> = 4: 1</w:t>
      </w:r>
      <w:r w:rsidRPr="00B57A75">
        <w:t>: 1</w:t>
      </w:r>
      <w:r>
        <w:t>).</w:t>
      </w:r>
    </w:p>
    <w:p w:rsidR="0038218D" w:rsidRDefault="0038218D" w:rsidP="00606CEE">
      <w:pPr>
        <w:ind w:firstLine="360"/>
      </w:pPr>
      <w:r w:rsidRPr="008B3AFE">
        <w:t>ESI-MS (</w:t>
      </w:r>
      <w:r w:rsidRPr="000E0253">
        <w:t>m/z</w:t>
      </w:r>
      <w:r>
        <w:t xml:space="preserve">, </w:t>
      </w:r>
      <w:r w:rsidR="007B5D08" w:rsidRPr="00FB46FA">
        <w:rPr>
          <w:kern w:val="0"/>
          <w:szCs w:val="24"/>
        </w:rPr>
        <w:t>Figure A</w:t>
      </w:r>
      <w:r w:rsidR="007B5D08">
        <w:rPr>
          <w:kern w:val="0"/>
          <w:szCs w:val="24"/>
        </w:rPr>
        <w:t xml:space="preserve"> 1</w:t>
      </w:r>
      <w:r w:rsidRPr="008B3AFE">
        <w:t xml:space="preserve">): </w:t>
      </w:r>
      <w:proofErr w:type="spellStart"/>
      <w:r w:rsidRPr="008B3AFE">
        <w:t>calcd</w:t>
      </w:r>
      <w:proofErr w:type="spellEnd"/>
      <w:r w:rsidRPr="008B3AFE">
        <w:t>. for C</w:t>
      </w:r>
      <w:r w:rsidRPr="008B3AFE">
        <w:rPr>
          <w:vertAlign w:val="subscript"/>
        </w:rPr>
        <w:t>11</w:t>
      </w:r>
      <w:r w:rsidRPr="008B3AFE">
        <w:t>H</w:t>
      </w:r>
      <w:r w:rsidRPr="008B3AFE">
        <w:rPr>
          <w:vertAlign w:val="subscript"/>
        </w:rPr>
        <w:t>11</w:t>
      </w:r>
      <w:r w:rsidRPr="008B3AFE">
        <w:t>N</w:t>
      </w:r>
      <w:r w:rsidRPr="008B3AFE">
        <w:rPr>
          <w:vertAlign w:val="subscript"/>
        </w:rPr>
        <w:t>5</w:t>
      </w:r>
      <w:r w:rsidRPr="008B3AFE">
        <w:t>O</w:t>
      </w:r>
      <w:r w:rsidRPr="008B3AFE">
        <w:rPr>
          <w:vertAlign w:val="subscript"/>
        </w:rPr>
        <w:t>2</w:t>
      </w:r>
      <w:r w:rsidRPr="008B3AFE">
        <w:t xml:space="preserve"> 245.09; found [M + H]</w:t>
      </w:r>
      <w:r w:rsidRPr="008B3AFE">
        <w:rPr>
          <w:vertAlign w:val="superscript"/>
        </w:rPr>
        <w:t>+</w:t>
      </w:r>
      <w:r>
        <w:t>:</w:t>
      </w:r>
      <w:r w:rsidRPr="008B3AFE">
        <w:t xml:space="preserve"> </w:t>
      </w:r>
      <w:r w:rsidRPr="00E4245E">
        <w:t>246.1</w:t>
      </w:r>
      <w:r>
        <w:t>.</w:t>
      </w:r>
    </w:p>
    <w:p w:rsidR="0038218D" w:rsidRDefault="0038218D" w:rsidP="00606CEE">
      <w:pPr>
        <w:ind w:firstLine="360"/>
      </w:pPr>
      <w:r w:rsidRPr="008B3AFE">
        <w:rPr>
          <w:vertAlign w:val="superscript"/>
        </w:rPr>
        <w:t>1</w:t>
      </w:r>
      <w:r>
        <w:t>H NMR (DMSO</w:t>
      </w:r>
      <w:r w:rsidRPr="008B3AFE">
        <w:t>, 295 K, 300 MHz, δ</w:t>
      </w:r>
      <w:r w:rsidR="007B5D08">
        <w:t xml:space="preserve"> </w:t>
      </w:r>
      <w:r w:rsidR="007B5D08" w:rsidRPr="00FB46FA">
        <w:rPr>
          <w:kern w:val="0"/>
          <w:szCs w:val="24"/>
        </w:rPr>
        <w:t xml:space="preserve">Figure </w:t>
      </w:r>
      <w:r w:rsidR="007B5D08">
        <w:rPr>
          <w:kern w:val="0"/>
          <w:szCs w:val="24"/>
        </w:rPr>
        <w:t>B 1</w:t>
      </w:r>
      <w:r w:rsidRPr="008B3AFE">
        <w:t>): 10.</w:t>
      </w:r>
      <w:r>
        <w:t>62 (s, 1H), 8.47 (d, J = 8.1 Hz, 5H), 7.59 (d, J = 8.1</w:t>
      </w:r>
      <w:r w:rsidRPr="008B3AFE">
        <w:t xml:space="preserve"> Hz, 2H), </w:t>
      </w:r>
      <w:r>
        <w:t>4.32(s, 1H), 3.25 (d, 2H)</w:t>
      </w:r>
      <w:r w:rsidRPr="008B3AFE">
        <w:t>.</w:t>
      </w:r>
    </w:p>
    <w:p w:rsidR="00BE3DAD" w:rsidRDefault="0038218D" w:rsidP="00606CEE">
      <w:pPr>
        <w:ind w:firstLine="360"/>
      </w:pP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ED5005">
          <w:rPr>
            <w:vertAlign w:val="superscript"/>
          </w:rPr>
          <w:t>13</w:t>
        </w:r>
        <w:r>
          <w:t>C</w:t>
        </w:r>
      </w:smartTag>
      <w:r>
        <w:t xml:space="preserve"> NMR (100 MHz, DMSO-d</w:t>
      </w:r>
      <w:r w:rsidRPr="00C4573E">
        <w:rPr>
          <w:vertAlign w:val="superscript"/>
        </w:rPr>
        <w:t>6</w:t>
      </w:r>
      <w:r w:rsidR="00DA0812">
        <w:t xml:space="preserve">, </w:t>
      </w:r>
      <w:r w:rsidR="007B5D08" w:rsidRPr="00FB46FA">
        <w:rPr>
          <w:kern w:val="0"/>
          <w:szCs w:val="24"/>
        </w:rPr>
        <w:t xml:space="preserve">Figure </w:t>
      </w:r>
      <w:r w:rsidR="007B5D08">
        <w:rPr>
          <w:kern w:val="0"/>
          <w:szCs w:val="24"/>
        </w:rPr>
        <w:t>B 2</w:t>
      </w:r>
      <w:r>
        <w:t xml:space="preserve">): </w:t>
      </w:r>
      <w:r>
        <w:sym w:font="Symbol" w:char="F064"/>
      </w:r>
      <w:r>
        <w:t xml:space="preserve"> 170.26, 165.36, 158.12, 140.26, 130.76, 130.59, 127.92, 52.87, </w:t>
      </w:r>
      <w:r w:rsidR="00CE4281">
        <w:t>and 35.74</w:t>
      </w:r>
      <w:r>
        <w:t>.</w:t>
      </w:r>
    </w:p>
    <w:p w:rsidR="00D924C3" w:rsidRPr="00362C63" w:rsidRDefault="00D924C3" w:rsidP="0038218D">
      <w:pPr>
        <w:ind w:firstLine="360"/>
        <w:rPr>
          <w:kern w:val="0"/>
          <w:szCs w:val="24"/>
        </w:rPr>
      </w:pPr>
    </w:p>
    <w:p w:rsidR="0038218D" w:rsidRPr="00606CEE" w:rsidRDefault="00123C17" w:rsidP="008D2CC3">
      <w:pPr>
        <w:autoSpaceDE w:val="0"/>
        <w:autoSpaceDN w:val="0"/>
        <w:adjustRightInd w:val="0"/>
        <w:ind w:firstLineChars="0" w:firstLine="0"/>
        <w:rPr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E</w:t>
      </w:r>
      <w:r w:rsidR="0038218D" w:rsidRPr="00606CEE">
        <w:rPr>
          <w:b/>
          <w:bCs/>
          <w:kern w:val="0"/>
          <w:sz w:val="28"/>
          <w:szCs w:val="28"/>
        </w:rPr>
        <w:t>nantiomeric purity of tetrazine-containing amino acid 2</w:t>
      </w:r>
    </w:p>
    <w:p w:rsidR="00D64E04" w:rsidRDefault="0038218D" w:rsidP="002C0E72">
      <w:pPr>
        <w:ind w:firstLine="360"/>
      </w:pPr>
      <w:r w:rsidRPr="00836E91">
        <w:lastRenderedPageBreak/>
        <w:t xml:space="preserve">Derivatization of an </w:t>
      </w:r>
      <w:r>
        <w:t xml:space="preserve">amino acid with FDAA produced a </w:t>
      </w:r>
      <w:proofErr w:type="spellStart"/>
      <w:r w:rsidRPr="00836E91">
        <w:t>diastereomer</w:t>
      </w:r>
      <w:proofErr w:type="spellEnd"/>
      <w:r w:rsidRPr="00836E91">
        <w:t xml:space="preserve"> referred to as </w:t>
      </w:r>
      <w:bookmarkStart w:id="0" w:name="OLE_LINK40"/>
      <w:bookmarkStart w:id="1" w:name="OLE_LINK41"/>
      <w:r w:rsidRPr="00836E91">
        <w:t>DNPA-amino acid</w:t>
      </w:r>
      <w:bookmarkEnd w:id="0"/>
      <w:bookmarkEnd w:id="1"/>
      <w:r>
        <w:t xml:space="preserve">. Tetrazine-containing amino acid (1.9 mg, 7.8 </w:t>
      </w:r>
      <w:r>
        <w:sym w:font="Symbol" w:char="F06D"/>
      </w:r>
      <w:r>
        <w:t>M</w:t>
      </w:r>
      <w:r w:rsidRPr="0073775D">
        <w:t xml:space="preserve">) </w:t>
      </w:r>
      <w:r>
        <w:t>was</w:t>
      </w:r>
      <w:r w:rsidRPr="0073775D">
        <w:t xml:space="preserve"> placed in </w:t>
      </w:r>
      <w:r>
        <w:t xml:space="preserve">a </w:t>
      </w:r>
      <w:r w:rsidRPr="0073775D">
        <w:t>2</w:t>
      </w:r>
      <w:r>
        <w:t xml:space="preserve"> ml plastic tube. 3</w:t>
      </w:r>
      <w:r w:rsidRPr="0073775D">
        <w:t xml:space="preserve">00 </w:t>
      </w:r>
      <w:r>
        <w:sym w:font="Symbol" w:char="F06D"/>
      </w:r>
      <w:r>
        <w:t xml:space="preserve">l </w:t>
      </w:r>
      <w:r w:rsidRPr="0073775D">
        <w:t xml:space="preserve">acetone </w:t>
      </w:r>
      <w:r>
        <w:t xml:space="preserve">solution of FDAA (3 mg, 11 </w:t>
      </w:r>
      <w:r>
        <w:sym w:font="Symbol" w:char="F06D"/>
      </w:r>
      <w:r>
        <w:t>M</w:t>
      </w:r>
      <w:r w:rsidRPr="0073775D">
        <w:t>)</w:t>
      </w:r>
      <w:r w:rsidR="00A85699">
        <w:t xml:space="preserve"> was added to the tube</w:t>
      </w:r>
      <w:r w:rsidRPr="0073775D">
        <w:t xml:space="preserve">, </w:t>
      </w:r>
      <w:r w:rsidR="00A85699">
        <w:t xml:space="preserve">with </w:t>
      </w:r>
      <w:r w:rsidRPr="0073775D">
        <w:t>the molar ratio of FDAA to amino acid 1.4:</w:t>
      </w:r>
      <w:r>
        <w:t xml:space="preserve"> </w:t>
      </w:r>
      <w:r w:rsidRPr="0073775D">
        <w:t xml:space="preserve">1, followed </w:t>
      </w:r>
      <w:r w:rsidR="00497CFB">
        <w:t>with</w:t>
      </w:r>
      <w:r w:rsidR="00497CFB" w:rsidRPr="0073775D">
        <w:t xml:space="preserve"> </w:t>
      </w:r>
      <w:r w:rsidRPr="0073775D">
        <w:t>NaHCO</w:t>
      </w:r>
      <w:r w:rsidRPr="00082196">
        <w:rPr>
          <w:vertAlign w:val="subscript"/>
        </w:rPr>
        <w:t>3</w:t>
      </w:r>
      <w:r w:rsidRPr="0073775D">
        <w:t xml:space="preserve"> (1 M, </w:t>
      </w:r>
      <w:r>
        <w:t>6</w:t>
      </w:r>
      <w:r w:rsidRPr="0073775D">
        <w:t xml:space="preserve">0 </w:t>
      </w:r>
      <w:r>
        <w:sym w:font="Symbol" w:char="F06D"/>
      </w:r>
      <w:r>
        <w:t xml:space="preserve">l, 60 </w:t>
      </w:r>
      <w:r>
        <w:sym w:font="Symbol" w:char="F06D"/>
      </w:r>
      <w:r>
        <w:t>M</w:t>
      </w:r>
      <w:r w:rsidRPr="0073775D">
        <w:t>). Th</w:t>
      </w:r>
      <w:r>
        <w:t>e contents were mixed</w:t>
      </w:r>
      <w:r w:rsidRPr="0073775D">
        <w:t xml:space="preserve"> at</w:t>
      </w:r>
      <w:r w:rsidRPr="00E42365">
        <w:t xml:space="preserve"> 30</w:t>
      </w:r>
      <w:r>
        <w:t xml:space="preserve"> </w:t>
      </w:r>
      <w:r w:rsidRPr="00E42365">
        <w:t>–</w:t>
      </w:r>
      <w:r>
        <w:t xml:space="preserve"> </w:t>
      </w:r>
      <w:r w:rsidRPr="00E42365">
        <w:t>40</w:t>
      </w:r>
      <w:r>
        <w:t xml:space="preserve"> </w:t>
      </w:r>
      <w:r w:rsidRPr="00A042D5">
        <w:t>°</w:t>
      </w:r>
      <w:r>
        <w:t>C for</w:t>
      </w:r>
      <w:r w:rsidRPr="0073775D">
        <w:t xml:space="preserve"> one hour with </w:t>
      </w:r>
      <w:r w:rsidR="00E0382A" w:rsidRPr="00E0382A">
        <w:t>intensive</w:t>
      </w:r>
      <w:r w:rsidRPr="0073775D">
        <w:t xml:space="preserve"> mixing.</w:t>
      </w:r>
      <w:r>
        <w:t xml:space="preserve"> </w:t>
      </w:r>
      <w:r w:rsidRPr="0073775D">
        <w:t>After cooling to r</w:t>
      </w:r>
      <w:r>
        <w:t xml:space="preserve">oom temperature, </w:t>
      </w:r>
      <w:proofErr w:type="spellStart"/>
      <w:r>
        <w:t>HCl</w:t>
      </w:r>
      <w:proofErr w:type="spellEnd"/>
      <w:r>
        <w:t xml:space="preserve"> (2 M, 30 </w:t>
      </w:r>
      <w:r>
        <w:sym w:font="Symbol" w:char="F06D"/>
      </w:r>
      <w:r>
        <w:t>l, 6</w:t>
      </w:r>
      <w:r w:rsidRPr="0073775D">
        <w:t xml:space="preserve">0 </w:t>
      </w:r>
      <w:r>
        <w:sym w:font="Symbol" w:char="F06D"/>
      </w:r>
      <w:r>
        <w:t>M) was added to the</w:t>
      </w:r>
      <w:r w:rsidRPr="0073775D">
        <w:t xml:space="preserve"> reaction mixture.</w:t>
      </w:r>
      <w:r w:rsidRPr="001C57E0">
        <w:t xml:space="preserve"> </w:t>
      </w:r>
      <w:r>
        <w:t>T</w:t>
      </w:r>
      <w:r w:rsidRPr="006C280A">
        <w:t xml:space="preserve">he </w:t>
      </w:r>
      <w:r w:rsidRPr="00836E91">
        <w:t>DNPA-amino acid</w:t>
      </w:r>
      <w:r w:rsidRPr="006C280A">
        <w:t xml:space="preserve"> </w:t>
      </w:r>
      <w:r>
        <w:t xml:space="preserve">can be separated and estimated </w:t>
      </w:r>
      <w:r w:rsidRPr="006C280A">
        <w:t xml:space="preserve">by HPLC </w:t>
      </w:r>
      <w:r w:rsidRPr="001C57E0">
        <w:t xml:space="preserve">with </w:t>
      </w:r>
      <w:r>
        <w:t xml:space="preserve">a linear gradient of </w:t>
      </w:r>
      <w:proofErr w:type="spellStart"/>
      <w:r>
        <w:t>MeCN</w:t>
      </w:r>
      <w:proofErr w:type="spellEnd"/>
      <w:r>
        <w:t xml:space="preserve"> from 5 to 95 % in 20</w:t>
      </w:r>
      <w:r w:rsidRPr="001C57E0">
        <w:t xml:space="preserve"> min at a flow rate of 1 ml/min and UV detection at 340 nm.</w:t>
      </w:r>
      <w:r>
        <w:t xml:space="preserve"> The results showed two peaks of absorption </w:t>
      </w:r>
      <w:r w:rsidRPr="00D523DC">
        <w:t xml:space="preserve">spectra </w:t>
      </w:r>
      <w:r>
        <w:t xml:space="preserve">in RP-HPLC, and the two peaks were measured with mass </w:t>
      </w:r>
      <w:r w:rsidRPr="00566FA1">
        <w:t>spectrometry</w:t>
      </w:r>
      <w:r>
        <w:t xml:space="preserve"> </w:t>
      </w:r>
      <w:r w:rsidR="00B35906">
        <w:t xml:space="preserve">to </w:t>
      </w:r>
      <w:r w:rsidRPr="00D523DC">
        <w:t>confirm the purity.</w:t>
      </w:r>
      <w:r w:rsidRPr="00C71159">
        <w:t xml:space="preserve"> The results </w:t>
      </w:r>
      <w:r w:rsidR="009F688C">
        <w:t>proved</w:t>
      </w:r>
      <w:r w:rsidR="009F688C" w:rsidRPr="00F13962">
        <w:t xml:space="preserve"> </w:t>
      </w:r>
      <w:r w:rsidRPr="00F13962">
        <w:t xml:space="preserve">that </w:t>
      </w:r>
      <w:r>
        <w:t xml:space="preserve">the product was found only </w:t>
      </w:r>
      <w:r w:rsidRPr="00F13962">
        <w:t>in peak</w:t>
      </w:r>
      <w:r>
        <w:t xml:space="preserve"> 2, </w:t>
      </w:r>
      <w:r w:rsidR="00597509">
        <w:t>but not</w:t>
      </w:r>
      <w:r>
        <w:t xml:space="preserve"> in peak 1 (</w:t>
      </w:r>
      <w:r w:rsidR="00AD6FCC" w:rsidRPr="00FB46FA">
        <w:rPr>
          <w:kern w:val="0"/>
          <w:szCs w:val="24"/>
        </w:rPr>
        <w:t xml:space="preserve">Figure </w:t>
      </w:r>
      <w:r w:rsidR="00AD6FCC">
        <w:rPr>
          <w:kern w:val="0"/>
          <w:szCs w:val="24"/>
        </w:rPr>
        <w:t>C</w:t>
      </w:r>
      <w:r>
        <w:t xml:space="preserve">). </w:t>
      </w:r>
      <w:r w:rsidRPr="00836E91">
        <w:t xml:space="preserve">It has been recognized that </w:t>
      </w:r>
      <w:r>
        <w:t xml:space="preserve">the peak 2 was the FDAA derivative of tetrazine-containing amino acid. Moreover, </w:t>
      </w:r>
      <w:r w:rsidRPr="00836E91">
        <w:t xml:space="preserve">acetone solution </w:t>
      </w:r>
      <w:r>
        <w:t>of FDAA was injected for HPLC as well, and t</w:t>
      </w:r>
      <w:r w:rsidRPr="00082196">
        <w:t xml:space="preserve">he results showed that </w:t>
      </w:r>
      <w:r>
        <w:t xml:space="preserve">the FDAA had the same absorption </w:t>
      </w:r>
      <w:r w:rsidRPr="00566FA1">
        <w:t>spectra</w:t>
      </w:r>
      <w:r>
        <w:t xml:space="preserve"> (</w:t>
      </w:r>
      <w:r w:rsidR="00AD6FCC" w:rsidRPr="00FB46FA">
        <w:rPr>
          <w:kern w:val="0"/>
          <w:szCs w:val="24"/>
        </w:rPr>
        <w:t xml:space="preserve">Figure </w:t>
      </w:r>
      <w:r w:rsidR="00AD6FCC">
        <w:rPr>
          <w:kern w:val="0"/>
          <w:szCs w:val="24"/>
        </w:rPr>
        <w:t>D</w:t>
      </w:r>
      <w:r>
        <w:t xml:space="preserve">) and retention behavior as that with </w:t>
      </w:r>
      <w:r w:rsidRPr="00836E91">
        <w:t>peak</w:t>
      </w:r>
      <w:r>
        <w:t xml:space="preserve"> 1.</w:t>
      </w:r>
      <w:r w:rsidRPr="008F634B">
        <w:t xml:space="preserve"> It is evident that </w:t>
      </w:r>
      <w:r>
        <w:t xml:space="preserve">the tetrazine-containing </w:t>
      </w:r>
      <w:r w:rsidRPr="008F634B">
        <w:t>amino acid</w:t>
      </w:r>
      <w:r w:rsidRPr="00082196">
        <w:t xml:space="preserve"> </w:t>
      </w:r>
      <w:r>
        <w:t xml:space="preserve">was </w:t>
      </w:r>
      <w:r w:rsidRPr="008F634B">
        <w:t>L-isomer</w:t>
      </w:r>
      <w:r>
        <w:t xml:space="preserve"> and </w:t>
      </w:r>
      <w:r w:rsidR="00762851">
        <w:t>might</w:t>
      </w:r>
      <w:r w:rsidR="008A0ABF">
        <w:t xml:space="preserve"> </w:t>
      </w:r>
      <w:r>
        <w:t>be used for peptide synthesis. A</w:t>
      </w:r>
      <w:r w:rsidRPr="008F634B">
        <w:t>nalyt</w:t>
      </w:r>
      <w:r>
        <w:t>ical RP-HPLC (</w:t>
      </w:r>
      <w:r w:rsidR="00AD6FCC" w:rsidRPr="00FB46FA">
        <w:rPr>
          <w:kern w:val="0"/>
          <w:szCs w:val="24"/>
        </w:rPr>
        <w:t xml:space="preserve">Figure </w:t>
      </w:r>
      <w:r w:rsidR="00AD6FCC">
        <w:rPr>
          <w:kern w:val="0"/>
          <w:szCs w:val="24"/>
        </w:rPr>
        <w:t>C 1</w:t>
      </w:r>
      <w:r>
        <w:t xml:space="preserve">): </w:t>
      </w:r>
      <w:proofErr w:type="spellStart"/>
      <w:proofErr w:type="gramStart"/>
      <w:r>
        <w:t>R</w:t>
      </w:r>
      <w:r w:rsidRPr="00AA3A00">
        <w:rPr>
          <w:vertAlign w:val="subscript"/>
        </w:rPr>
        <w:t>t</w:t>
      </w:r>
      <w:proofErr w:type="spellEnd"/>
      <w:proofErr w:type="gramEnd"/>
      <w:r>
        <w:t xml:space="preserve"> 16.70</w:t>
      </w:r>
      <w:r w:rsidRPr="008F634B">
        <w:t xml:space="preserve"> min</w:t>
      </w:r>
      <w:r>
        <w:t xml:space="preserve">. </w:t>
      </w:r>
    </w:p>
    <w:p w:rsidR="0038218D" w:rsidRDefault="0038218D" w:rsidP="002C0E72">
      <w:pPr>
        <w:ind w:firstLine="360"/>
      </w:pPr>
      <w:r>
        <w:t xml:space="preserve">ESI-MS (m/z, </w:t>
      </w:r>
      <w:r w:rsidR="00AD6FCC" w:rsidRPr="00FB46FA">
        <w:rPr>
          <w:kern w:val="0"/>
          <w:szCs w:val="24"/>
        </w:rPr>
        <w:t xml:space="preserve">Figure </w:t>
      </w:r>
      <w:r w:rsidR="00AD6FCC">
        <w:rPr>
          <w:kern w:val="0"/>
          <w:szCs w:val="24"/>
        </w:rPr>
        <w:t>E</w:t>
      </w:r>
      <w:r w:rsidRPr="008F634B">
        <w:t xml:space="preserve">): </w:t>
      </w:r>
      <w:proofErr w:type="spellStart"/>
      <w:r w:rsidRPr="008F634B">
        <w:t>calcd</w:t>
      </w:r>
      <w:proofErr w:type="spellEnd"/>
      <w:r w:rsidRPr="008F634B">
        <w:t>. for C</w:t>
      </w:r>
      <w:r w:rsidRPr="008F634B">
        <w:rPr>
          <w:vertAlign w:val="subscript"/>
        </w:rPr>
        <w:t>20</w:t>
      </w:r>
      <w:r w:rsidRPr="008F634B">
        <w:t>H</w:t>
      </w:r>
      <w:r w:rsidRPr="008F634B">
        <w:rPr>
          <w:vertAlign w:val="subscript"/>
        </w:rPr>
        <w:t>19</w:t>
      </w:r>
      <w:r w:rsidRPr="008F634B">
        <w:t>N</w:t>
      </w:r>
      <w:r w:rsidRPr="008F634B">
        <w:rPr>
          <w:vertAlign w:val="subscript"/>
        </w:rPr>
        <w:t>9</w:t>
      </w:r>
      <w:r w:rsidRPr="008F634B">
        <w:t>O</w:t>
      </w:r>
      <w:r w:rsidRPr="008F634B">
        <w:rPr>
          <w:vertAlign w:val="subscript"/>
        </w:rPr>
        <w:t xml:space="preserve">7 </w:t>
      </w:r>
      <w:r w:rsidRPr="008F634B">
        <w:t>497.14; found [M + H]</w:t>
      </w:r>
      <w:r w:rsidRPr="007841FA">
        <w:rPr>
          <w:vertAlign w:val="superscript"/>
        </w:rPr>
        <w:t>+</w:t>
      </w:r>
      <w:r w:rsidRPr="008F634B">
        <w:t>: 498.14.</w:t>
      </w:r>
    </w:p>
    <w:p w:rsidR="00A95978" w:rsidRDefault="00A95978" w:rsidP="0038218D">
      <w:pPr>
        <w:ind w:firstLine="360"/>
        <w:rPr>
          <w:rFonts w:ascii="Times-Roman" w:hAnsi="Times-Roman" w:cs="Times-Roman"/>
          <w:kern w:val="0"/>
          <w:szCs w:val="24"/>
        </w:rPr>
      </w:pPr>
    </w:p>
    <w:p w:rsidR="00A95978" w:rsidRPr="008D2CC3" w:rsidRDefault="0047331E" w:rsidP="008D2CC3">
      <w:pPr>
        <w:ind w:firstLineChars="0" w:firstLine="0"/>
        <w:rPr>
          <w:rFonts w:ascii="Times-Roman" w:hAnsi="Times-Roman" w:cs="Times-Roman"/>
          <w:b/>
          <w:kern w:val="0"/>
          <w:sz w:val="28"/>
          <w:szCs w:val="24"/>
        </w:rPr>
      </w:pPr>
      <w:r w:rsidRPr="008D2CC3">
        <w:rPr>
          <w:rFonts w:ascii="Times-Roman" w:hAnsi="Times-Roman" w:cs="Times-Roman" w:hint="eastAsia"/>
          <w:b/>
          <w:kern w:val="0"/>
          <w:sz w:val="28"/>
          <w:szCs w:val="24"/>
        </w:rPr>
        <w:t>Reference</w:t>
      </w:r>
    </w:p>
    <w:p w:rsidR="00A054BE" w:rsidRPr="00A054BE" w:rsidRDefault="00A054BE" w:rsidP="00A054BE">
      <w:pPr>
        <w:ind w:firstLine="360"/>
        <w:rPr>
          <w:szCs w:val="24"/>
        </w:rPr>
      </w:pPr>
      <w:r w:rsidRPr="00A054BE">
        <w:rPr>
          <w:szCs w:val="24"/>
        </w:rPr>
        <w:t>1.</w:t>
      </w:r>
      <w:r w:rsidR="008D2CC3">
        <w:rPr>
          <w:szCs w:val="24"/>
        </w:rPr>
        <w:t xml:space="preserve"> </w:t>
      </w:r>
      <w:r w:rsidRPr="00A054BE">
        <w:rPr>
          <w:szCs w:val="24"/>
        </w:rPr>
        <w:t xml:space="preserve">Sauer J, </w:t>
      </w:r>
      <w:proofErr w:type="spellStart"/>
      <w:r w:rsidRPr="00A054BE">
        <w:rPr>
          <w:szCs w:val="24"/>
        </w:rPr>
        <w:t>Heldmann</w:t>
      </w:r>
      <w:proofErr w:type="spellEnd"/>
      <w:r w:rsidRPr="00A054BE">
        <w:rPr>
          <w:szCs w:val="24"/>
        </w:rPr>
        <w:t xml:space="preserve"> DK, </w:t>
      </w:r>
      <w:proofErr w:type="spellStart"/>
      <w:r w:rsidRPr="00A054BE">
        <w:rPr>
          <w:szCs w:val="24"/>
        </w:rPr>
        <w:t>Hetzenegger</w:t>
      </w:r>
      <w:proofErr w:type="spellEnd"/>
      <w:r w:rsidRPr="00A054BE">
        <w:rPr>
          <w:szCs w:val="24"/>
        </w:rPr>
        <w:t xml:space="preserve"> J, </w:t>
      </w:r>
      <w:proofErr w:type="spellStart"/>
      <w:r w:rsidRPr="00A054BE">
        <w:rPr>
          <w:szCs w:val="24"/>
        </w:rPr>
        <w:t>Krauthan</w:t>
      </w:r>
      <w:proofErr w:type="spellEnd"/>
      <w:r w:rsidRPr="00A054BE">
        <w:rPr>
          <w:szCs w:val="24"/>
        </w:rPr>
        <w:t xml:space="preserve"> J, </w:t>
      </w:r>
      <w:proofErr w:type="spellStart"/>
      <w:r w:rsidRPr="00A054BE">
        <w:rPr>
          <w:szCs w:val="24"/>
        </w:rPr>
        <w:t>Sichert</w:t>
      </w:r>
      <w:proofErr w:type="spellEnd"/>
      <w:r w:rsidRPr="00A054BE">
        <w:rPr>
          <w:szCs w:val="24"/>
        </w:rPr>
        <w:t xml:space="preserve"> H, Schuster J. 1, 2, 4, 5-Tetrazine: Synthesis and Reactivity in [4 + 2] Cycloadditions. </w:t>
      </w:r>
      <w:proofErr w:type="spellStart"/>
      <w:r w:rsidRPr="00A054BE">
        <w:rPr>
          <w:szCs w:val="24"/>
          <w:lang w:val="en-GB"/>
        </w:rPr>
        <w:t>Eur</w:t>
      </w:r>
      <w:proofErr w:type="spellEnd"/>
      <w:r w:rsidRPr="00A054BE">
        <w:rPr>
          <w:szCs w:val="24"/>
          <w:lang w:val="en-GB"/>
        </w:rPr>
        <w:t xml:space="preserve"> J Org </w:t>
      </w:r>
      <w:proofErr w:type="spellStart"/>
      <w:r w:rsidRPr="00A054BE">
        <w:rPr>
          <w:szCs w:val="24"/>
          <w:lang w:val="en-GB"/>
        </w:rPr>
        <w:t>Chem</w:t>
      </w:r>
      <w:proofErr w:type="spellEnd"/>
      <w:r w:rsidRPr="00A054BE">
        <w:rPr>
          <w:szCs w:val="24"/>
        </w:rPr>
        <w:t>. 1998; 1998(12):2885-96.</w:t>
      </w: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FB46FA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>1</w:t>
      </w:r>
    </w:p>
    <w:p w:rsidR="00695998" w:rsidRDefault="00695998" w:rsidP="00695998">
      <w:pPr>
        <w:widowControl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38505B3C" wp14:editId="7DC8EAC1">
            <wp:extent cx="5219700" cy="4057650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2" t="7347" r="5283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widowControl/>
        <w:ind w:firstLine="361"/>
        <w:jc w:val="center"/>
        <w:rPr>
          <w:b/>
          <w:noProof/>
          <w:kern w:val="0"/>
          <w:szCs w:val="24"/>
        </w:rPr>
      </w:pPr>
    </w:p>
    <w:p w:rsidR="00695998" w:rsidRDefault="00FB46FA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t>2</w:t>
      </w:r>
    </w:p>
    <w:p w:rsidR="00695998" w:rsidRPr="008B3AFE" w:rsidRDefault="00695998" w:rsidP="00695998">
      <w:pPr>
        <w:autoSpaceDN w:val="0"/>
        <w:spacing w:before="53" w:after="53" w:line="315" w:lineRule="atLeast"/>
        <w:ind w:firstLine="360"/>
        <w:rPr>
          <w:kern w:val="0"/>
          <w:szCs w:val="24"/>
        </w:rPr>
      </w:pPr>
      <w:r>
        <w:rPr>
          <w:noProof/>
          <w:kern w:val="0"/>
          <w:szCs w:val="24"/>
        </w:rPr>
        <w:drawing>
          <wp:inline distT="0" distB="0" distL="0" distR="0" wp14:anchorId="1FE2E5C7" wp14:editId="5E95B9EA">
            <wp:extent cx="5219700" cy="192405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211">
        <w:rPr>
          <w:kern w:val="0"/>
          <w:szCs w:val="24"/>
          <w:lang w:eastAsia="ja-JP"/>
        </w:rPr>
        <w:t xml:space="preserve"> </w:t>
      </w: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Pr="00294211" w:rsidRDefault="00FB46FA" w:rsidP="00FD6E2A">
      <w:pPr>
        <w:autoSpaceDN w:val="0"/>
        <w:spacing w:before="53" w:after="53" w:line="315" w:lineRule="atLeast"/>
        <w:ind w:firstLineChars="62" w:firstLine="149"/>
        <w:rPr>
          <w:kern w:val="0"/>
          <w:szCs w:val="24"/>
        </w:rPr>
      </w:pPr>
      <w:r>
        <w:rPr>
          <w:b/>
          <w:kern w:val="0"/>
          <w:szCs w:val="24"/>
        </w:rPr>
        <w:t>Figure A</w:t>
      </w:r>
      <w:r w:rsidR="00695998" w:rsidRPr="00F76B10">
        <w:rPr>
          <w:b/>
          <w:kern w:val="0"/>
          <w:szCs w:val="24"/>
        </w:rPr>
        <w:t>.</w:t>
      </w:r>
      <w:r w:rsidR="00695998">
        <w:rPr>
          <w:kern w:val="0"/>
          <w:szCs w:val="24"/>
        </w:rPr>
        <w:t xml:space="preserve"> ESI-MS spectrum </w:t>
      </w:r>
      <w:r w:rsidR="00695998" w:rsidRPr="00522150">
        <w:rPr>
          <w:kern w:val="0"/>
          <w:szCs w:val="24"/>
          <w:lang w:eastAsia="ja-JP"/>
        </w:rPr>
        <w:t>(</w:t>
      </w:r>
      <w:r>
        <w:rPr>
          <w:b/>
          <w:kern w:val="0"/>
          <w:szCs w:val="24"/>
          <w:lang w:eastAsia="ja-JP"/>
        </w:rPr>
        <w:t>1</w:t>
      </w:r>
      <w:r w:rsidR="00695998" w:rsidRPr="00522150">
        <w:rPr>
          <w:kern w:val="0"/>
          <w:szCs w:val="24"/>
          <w:lang w:eastAsia="ja-JP"/>
        </w:rPr>
        <w:t>)</w:t>
      </w:r>
      <w:r w:rsidR="00695998">
        <w:rPr>
          <w:kern w:val="0"/>
          <w:szCs w:val="24"/>
          <w:lang w:eastAsia="ja-JP"/>
        </w:rPr>
        <w:t xml:space="preserve"> </w:t>
      </w:r>
      <w:r w:rsidR="00695998">
        <w:rPr>
          <w:rFonts w:hint="eastAsia"/>
          <w:kern w:val="0"/>
          <w:szCs w:val="24"/>
        </w:rPr>
        <w:t>and</w:t>
      </w:r>
      <w:r w:rsidR="00695998">
        <w:rPr>
          <w:kern w:val="0"/>
          <w:szCs w:val="24"/>
        </w:rPr>
        <w:t xml:space="preserve"> </w:t>
      </w:r>
      <w:r w:rsidR="00695998" w:rsidRPr="00522150">
        <w:rPr>
          <w:kern w:val="0"/>
          <w:szCs w:val="24"/>
          <w:lang w:eastAsia="ja-JP"/>
        </w:rPr>
        <w:t>Analytical HPLC spectrum (</w:t>
      </w:r>
      <w:r>
        <w:rPr>
          <w:b/>
          <w:kern w:val="0"/>
          <w:szCs w:val="24"/>
          <w:lang w:eastAsia="ja-JP"/>
        </w:rPr>
        <w:t>2</w:t>
      </w:r>
      <w:r w:rsidR="00695998" w:rsidRPr="00522150">
        <w:rPr>
          <w:kern w:val="0"/>
          <w:szCs w:val="24"/>
          <w:lang w:eastAsia="ja-JP"/>
        </w:rPr>
        <w:t>)</w:t>
      </w:r>
      <w:r w:rsidR="00695998">
        <w:rPr>
          <w:rFonts w:hint="eastAsia"/>
          <w:kern w:val="0"/>
          <w:szCs w:val="24"/>
        </w:rPr>
        <w:t xml:space="preserve"> </w:t>
      </w:r>
      <w:r w:rsidR="00695998" w:rsidRPr="00870445">
        <w:rPr>
          <w:kern w:val="0"/>
          <w:szCs w:val="24"/>
        </w:rPr>
        <w:t xml:space="preserve">of </w:t>
      </w:r>
      <w:r w:rsidR="00695998">
        <w:rPr>
          <w:kern w:val="0"/>
          <w:szCs w:val="24"/>
        </w:rPr>
        <w:t xml:space="preserve">compound </w:t>
      </w:r>
      <w:r w:rsidR="00695998" w:rsidRPr="00BD0B63">
        <w:rPr>
          <w:b/>
          <w:kern w:val="0"/>
          <w:szCs w:val="24"/>
        </w:rPr>
        <w:t>2</w:t>
      </w: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br w:type="page"/>
      </w: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FB46FA" w:rsidP="00695998">
      <w:pPr>
        <w:widowControl/>
        <w:ind w:firstLine="361"/>
        <w:rPr>
          <w:rFonts w:eastAsia="MS Mincho"/>
          <w:b/>
          <w:noProof/>
          <w:kern w:val="0"/>
          <w:szCs w:val="24"/>
        </w:rPr>
      </w:pPr>
      <w:r>
        <w:rPr>
          <w:b/>
          <w:kern w:val="0"/>
          <w:szCs w:val="24"/>
        </w:rPr>
        <w:t>1</w:t>
      </w:r>
    </w:p>
    <w:p w:rsidR="00695998" w:rsidRDefault="00695998" w:rsidP="00695998">
      <w:pPr>
        <w:widowControl/>
        <w:ind w:firstLine="360"/>
        <w:jc w:val="center"/>
        <w:rPr>
          <w:rFonts w:eastAsia="MS Mincho"/>
          <w:b/>
          <w:noProof/>
          <w:kern w:val="0"/>
          <w:szCs w:val="24"/>
        </w:rPr>
      </w:pPr>
      <w:r>
        <w:rPr>
          <w:rFonts w:eastAsia="MS Mincho"/>
          <w:b/>
          <w:noProof/>
          <w:kern w:val="0"/>
          <w:szCs w:val="24"/>
        </w:rPr>
        <w:drawing>
          <wp:inline distT="0" distB="0" distL="0" distR="0" wp14:anchorId="310A2FCF" wp14:editId="6ED8DDF4">
            <wp:extent cx="5219700" cy="3162300"/>
            <wp:effectExtent l="0" t="0" r="0" b="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widowControl/>
        <w:ind w:firstLine="360"/>
        <w:jc w:val="center"/>
        <w:rPr>
          <w:rFonts w:eastAsia="MS Mincho"/>
          <w:b/>
          <w:noProof/>
          <w:kern w:val="0"/>
          <w:szCs w:val="24"/>
        </w:rPr>
      </w:pPr>
    </w:p>
    <w:p w:rsidR="00695998" w:rsidRDefault="00695998" w:rsidP="00695998">
      <w:pPr>
        <w:widowControl/>
        <w:ind w:firstLine="360"/>
        <w:jc w:val="center"/>
        <w:rPr>
          <w:rFonts w:eastAsia="MS Mincho"/>
          <w:b/>
          <w:kern w:val="0"/>
          <w:szCs w:val="24"/>
          <w:lang w:eastAsia="ja-JP"/>
        </w:rPr>
      </w:pPr>
    </w:p>
    <w:p w:rsidR="00695998" w:rsidRPr="00126DE2" w:rsidRDefault="00FB46FA" w:rsidP="00695998">
      <w:pPr>
        <w:widowControl/>
        <w:ind w:firstLine="361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t>2</w:t>
      </w:r>
    </w:p>
    <w:p w:rsidR="00695998" w:rsidRDefault="00695998" w:rsidP="00695998">
      <w:pPr>
        <w:widowControl/>
        <w:ind w:firstLine="360"/>
        <w:jc w:val="center"/>
        <w:rPr>
          <w:rFonts w:eastAsia="MS Mincho"/>
          <w:b/>
          <w:noProof/>
          <w:kern w:val="0"/>
          <w:szCs w:val="24"/>
        </w:rPr>
      </w:pPr>
      <w:r>
        <w:rPr>
          <w:rFonts w:eastAsia="MS Mincho"/>
          <w:b/>
          <w:noProof/>
          <w:kern w:val="0"/>
          <w:szCs w:val="24"/>
        </w:rPr>
        <w:drawing>
          <wp:inline distT="0" distB="0" distL="0" distR="0" wp14:anchorId="10C7DDF8" wp14:editId="5E9B1E2D">
            <wp:extent cx="5219700" cy="3286125"/>
            <wp:effectExtent l="0" t="0" r="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widowControl/>
        <w:ind w:firstLine="360"/>
        <w:jc w:val="center"/>
        <w:rPr>
          <w:rFonts w:eastAsia="MS Mincho"/>
          <w:b/>
          <w:kern w:val="0"/>
          <w:szCs w:val="24"/>
          <w:lang w:eastAsia="ja-JP"/>
        </w:rPr>
      </w:pPr>
    </w:p>
    <w:p w:rsidR="00695998" w:rsidRPr="00870445" w:rsidRDefault="00FB46FA" w:rsidP="00695998">
      <w:pPr>
        <w:widowControl/>
        <w:ind w:firstLine="361"/>
        <w:rPr>
          <w:kern w:val="0"/>
          <w:szCs w:val="24"/>
        </w:rPr>
      </w:pPr>
      <w:r>
        <w:rPr>
          <w:b/>
          <w:kern w:val="0"/>
          <w:szCs w:val="24"/>
        </w:rPr>
        <w:t>Figure B</w:t>
      </w:r>
      <w:r w:rsidR="00695998" w:rsidRPr="00F76B10">
        <w:rPr>
          <w:b/>
          <w:kern w:val="0"/>
          <w:szCs w:val="24"/>
        </w:rPr>
        <w:t>.</w:t>
      </w:r>
      <w:r w:rsidR="00695998" w:rsidRPr="00870445">
        <w:rPr>
          <w:kern w:val="0"/>
          <w:szCs w:val="24"/>
        </w:rPr>
        <w:t xml:space="preserve"> </w:t>
      </w:r>
      <w:r w:rsidR="00695998" w:rsidRPr="00870445">
        <w:rPr>
          <w:kern w:val="0"/>
          <w:szCs w:val="24"/>
          <w:vertAlign w:val="superscript"/>
        </w:rPr>
        <w:t>1</w:t>
      </w:r>
      <w:r w:rsidR="00695998" w:rsidRPr="00870445">
        <w:rPr>
          <w:kern w:val="0"/>
          <w:szCs w:val="24"/>
        </w:rPr>
        <w:t>H NMR spectrum (</w:t>
      </w:r>
      <w:r>
        <w:rPr>
          <w:b/>
          <w:kern w:val="0"/>
          <w:szCs w:val="24"/>
        </w:rPr>
        <w:t>1</w:t>
      </w:r>
      <w:r w:rsidR="00695998" w:rsidRPr="00870445">
        <w:rPr>
          <w:kern w:val="0"/>
          <w:szCs w:val="24"/>
        </w:rPr>
        <w:t xml:space="preserve">) and </w:t>
      </w:r>
      <w:r w:rsidR="00695998" w:rsidRPr="00870445">
        <w:rPr>
          <w:kern w:val="0"/>
          <w:szCs w:val="24"/>
          <w:vertAlign w:val="superscript"/>
        </w:rPr>
        <w:t>13</w:t>
      </w:r>
      <w:r w:rsidR="00695998" w:rsidRPr="00870445">
        <w:rPr>
          <w:kern w:val="0"/>
          <w:szCs w:val="24"/>
        </w:rPr>
        <w:t>C NMR spectrum (</w:t>
      </w:r>
      <w:r>
        <w:rPr>
          <w:b/>
          <w:kern w:val="0"/>
          <w:szCs w:val="24"/>
        </w:rPr>
        <w:t>2</w:t>
      </w:r>
      <w:r w:rsidR="00695998" w:rsidRPr="00870445">
        <w:rPr>
          <w:kern w:val="0"/>
          <w:szCs w:val="24"/>
        </w:rPr>
        <w:t xml:space="preserve">) of compound </w:t>
      </w:r>
      <w:r w:rsidR="00695998" w:rsidRPr="00870445">
        <w:rPr>
          <w:b/>
          <w:kern w:val="0"/>
          <w:szCs w:val="24"/>
        </w:rPr>
        <w:t>2</w:t>
      </w:r>
    </w:p>
    <w:p w:rsidR="00695998" w:rsidRPr="002B7FFE" w:rsidRDefault="00695998" w:rsidP="00695998">
      <w:pPr>
        <w:widowControl/>
        <w:ind w:firstLine="361"/>
        <w:rPr>
          <w:b/>
          <w:kern w:val="0"/>
          <w:szCs w:val="24"/>
        </w:rPr>
      </w:pPr>
    </w:p>
    <w:p w:rsidR="00695998" w:rsidRDefault="00695998" w:rsidP="00695998">
      <w:pPr>
        <w:widowControl/>
        <w:ind w:firstLine="360"/>
        <w:rPr>
          <w:kern w:val="0"/>
          <w:szCs w:val="24"/>
        </w:rPr>
      </w:pPr>
    </w:p>
    <w:p w:rsidR="00695998" w:rsidRDefault="00FB46FA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t>1</w:t>
      </w:r>
    </w:p>
    <w:p w:rsidR="00695998" w:rsidRDefault="00695998" w:rsidP="00695998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7FE18F31" wp14:editId="0B3F4BC2">
            <wp:extent cx="5219700" cy="1704975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</w:p>
    <w:p w:rsidR="00695998" w:rsidRDefault="00695998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t xml:space="preserve"> </w:t>
      </w:r>
      <w:r w:rsidR="00FB46FA">
        <w:rPr>
          <w:b/>
          <w:kern w:val="0"/>
          <w:szCs w:val="24"/>
        </w:rPr>
        <w:t>2</w:t>
      </w:r>
    </w:p>
    <w:p w:rsidR="00695998" w:rsidRDefault="00695998" w:rsidP="00695998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1649F5D2" wp14:editId="2E683070">
            <wp:extent cx="5219700" cy="2876550"/>
            <wp:effectExtent l="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</w:p>
    <w:p w:rsidR="00695998" w:rsidRPr="00351CC6" w:rsidRDefault="00FB46FA" w:rsidP="009266FF">
      <w:pPr>
        <w:autoSpaceDE w:val="0"/>
        <w:autoSpaceDN w:val="0"/>
        <w:adjustRightInd w:val="0"/>
        <w:ind w:firstLineChars="0" w:firstLine="0"/>
        <w:rPr>
          <w:kern w:val="0"/>
          <w:szCs w:val="24"/>
        </w:rPr>
      </w:pPr>
      <w:r>
        <w:rPr>
          <w:b/>
          <w:kern w:val="0"/>
          <w:szCs w:val="24"/>
        </w:rPr>
        <w:t>Figure C</w:t>
      </w:r>
      <w:r w:rsidR="00695998" w:rsidRPr="00F76B10">
        <w:rPr>
          <w:b/>
          <w:kern w:val="0"/>
          <w:szCs w:val="24"/>
        </w:rPr>
        <w:t>.</w:t>
      </w:r>
      <w:r w:rsidR="00695998" w:rsidRPr="00351CC6">
        <w:rPr>
          <w:kern w:val="0"/>
          <w:szCs w:val="24"/>
        </w:rPr>
        <w:t xml:space="preserve"> Analytical HPLC spectrum (</w:t>
      </w:r>
      <w:r>
        <w:rPr>
          <w:b/>
          <w:kern w:val="0"/>
          <w:szCs w:val="24"/>
        </w:rPr>
        <w:t>1</w:t>
      </w:r>
      <w:r w:rsidR="00695998" w:rsidRPr="00351CC6">
        <w:rPr>
          <w:kern w:val="0"/>
          <w:szCs w:val="24"/>
        </w:rPr>
        <w:t>) and UV-vis absorption spectrum (</w:t>
      </w:r>
      <w:r>
        <w:rPr>
          <w:b/>
          <w:kern w:val="0"/>
          <w:szCs w:val="24"/>
        </w:rPr>
        <w:t>2</w:t>
      </w:r>
      <w:r w:rsidR="00695998" w:rsidRPr="00351CC6">
        <w:rPr>
          <w:kern w:val="0"/>
          <w:szCs w:val="24"/>
        </w:rPr>
        <w:t>) of peak 1 and peak 2</w:t>
      </w:r>
    </w:p>
    <w:p w:rsidR="00695998" w:rsidRDefault="00695998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br w:type="page"/>
      </w:r>
    </w:p>
    <w:p w:rsidR="00695998" w:rsidRPr="0029091F" w:rsidRDefault="00FB46FA" w:rsidP="00695998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>1</w:t>
      </w:r>
    </w:p>
    <w:p w:rsidR="00695998" w:rsidRDefault="00695998" w:rsidP="00695998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6E170689" wp14:editId="0462AB69">
            <wp:extent cx="5219700" cy="1971675"/>
            <wp:effectExtent l="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</w:p>
    <w:p w:rsidR="00695998" w:rsidRDefault="00FB46FA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t>2</w:t>
      </w:r>
    </w:p>
    <w:p w:rsidR="00695998" w:rsidRDefault="00695998" w:rsidP="00695998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58569583" wp14:editId="0CB2AF8A">
            <wp:extent cx="5219700" cy="2200275"/>
            <wp:effectExtent l="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98" w:rsidRDefault="00695998" w:rsidP="00695998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</w:p>
    <w:p w:rsidR="00695998" w:rsidRDefault="00FB46FA" w:rsidP="009266FF">
      <w:pPr>
        <w:autoSpaceDE w:val="0"/>
        <w:autoSpaceDN w:val="0"/>
        <w:adjustRightInd w:val="0"/>
        <w:ind w:firstLineChars="0" w:firstLine="0"/>
        <w:rPr>
          <w:kern w:val="0"/>
          <w:szCs w:val="24"/>
        </w:rPr>
      </w:pPr>
      <w:r>
        <w:rPr>
          <w:b/>
          <w:kern w:val="0"/>
          <w:szCs w:val="24"/>
        </w:rPr>
        <w:t>Figure D</w:t>
      </w:r>
      <w:r w:rsidR="00695998" w:rsidRPr="00F76B10">
        <w:rPr>
          <w:b/>
          <w:kern w:val="0"/>
          <w:szCs w:val="24"/>
        </w:rPr>
        <w:t>.</w:t>
      </w:r>
      <w:r w:rsidR="00695998" w:rsidRPr="001C403B">
        <w:rPr>
          <w:kern w:val="0"/>
          <w:szCs w:val="24"/>
        </w:rPr>
        <w:t xml:space="preserve"> Analytical HPLC spectrum (</w:t>
      </w:r>
      <w:r>
        <w:rPr>
          <w:b/>
          <w:kern w:val="0"/>
          <w:szCs w:val="24"/>
        </w:rPr>
        <w:t>1</w:t>
      </w:r>
      <w:r w:rsidR="00695998" w:rsidRPr="001C403B">
        <w:rPr>
          <w:kern w:val="0"/>
          <w:szCs w:val="24"/>
        </w:rPr>
        <w:t>) and UV-vis absorption spectrum (</w:t>
      </w:r>
      <w:r>
        <w:rPr>
          <w:b/>
          <w:kern w:val="0"/>
          <w:szCs w:val="24"/>
        </w:rPr>
        <w:t>2</w:t>
      </w:r>
      <w:r w:rsidR="00695998" w:rsidRPr="001C403B">
        <w:rPr>
          <w:kern w:val="0"/>
          <w:szCs w:val="24"/>
        </w:rPr>
        <w:t>) of FDAA</w:t>
      </w: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921DFE" w:rsidRPr="00921DFE" w:rsidRDefault="00921DFE" w:rsidP="00FD6E2A">
      <w:pPr>
        <w:widowControl/>
        <w:ind w:firstLine="360"/>
        <w:rPr>
          <w:rFonts w:eastAsiaTheme="minorEastAsia" w:hint="eastAsia"/>
          <w:kern w:val="0"/>
          <w:szCs w:val="24"/>
        </w:rPr>
      </w:pPr>
      <w:bookmarkStart w:id="2" w:name="_GoBack"/>
      <w:bookmarkEnd w:id="2"/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C33F5B" w:rsidRDefault="00FB46FA" w:rsidP="00C33F5B">
      <w:pPr>
        <w:widowControl/>
        <w:ind w:firstLine="361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>1</w:t>
      </w:r>
    </w:p>
    <w:p w:rsidR="00C33F5B" w:rsidRDefault="00C33F5B" w:rsidP="00C33F5B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3E04F8A8" wp14:editId="5FC40F5C">
            <wp:extent cx="5219700" cy="3333750"/>
            <wp:effectExtent l="0" t="0" r="0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9" t="7500" r="564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5B" w:rsidRDefault="00C33F5B" w:rsidP="00C33F5B">
      <w:pPr>
        <w:autoSpaceDE w:val="0"/>
        <w:autoSpaceDN w:val="0"/>
        <w:adjustRightInd w:val="0"/>
        <w:ind w:firstLine="361"/>
        <w:rPr>
          <w:b/>
          <w:noProof/>
          <w:kern w:val="0"/>
          <w:szCs w:val="24"/>
        </w:rPr>
      </w:pPr>
    </w:p>
    <w:p w:rsidR="00C33F5B" w:rsidRDefault="00FB46FA" w:rsidP="00C33F5B">
      <w:pPr>
        <w:autoSpaceDE w:val="0"/>
        <w:autoSpaceDN w:val="0"/>
        <w:adjustRightInd w:val="0"/>
        <w:ind w:firstLine="361"/>
        <w:rPr>
          <w:b/>
          <w:kern w:val="0"/>
          <w:szCs w:val="24"/>
        </w:rPr>
      </w:pPr>
      <w:r>
        <w:rPr>
          <w:b/>
          <w:noProof/>
          <w:kern w:val="0"/>
          <w:szCs w:val="24"/>
        </w:rPr>
        <w:t>2</w:t>
      </w:r>
    </w:p>
    <w:p w:rsidR="00C33F5B" w:rsidRDefault="00C33F5B" w:rsidP="00C33F5B">
      <w:pPr>
        <w:autoSpaceDE w:val="0"/>
        <w:autoSpaceDN w:val="0"/>
        <w:adjustRightInd w:val="0"/>
        <w:ind w:firstLine="361"/>
        <w:jc w:val="center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7F8E1D73" wp14:editId="0A0CCD9A">
            <wp:extent cx="5219700" cy="3171825"/>
            <wp:effectExtent l="0" t="0" r="0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7205" r="4736" b="8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5B" w:rsidRDefault="00C33F5B" w:rsidP="00C33F5B">
      <w:pPr>
        <w:autoSpaceDE w:val="0"/>
        <w:autoSpaceDN w:val="0"/>
        <w:adjustRightInd w:val="0"/>
        <w:ind w:firstLine="361"/>
        <w:jc w:val="center"/>
        <w:rPr>
          <w:b/>
          <w:kern w:val="0"/>
          <w:szCs w:val="24"/>
        </w:rPr>
      </w:pPr>
    </w:p>
    <w:p w:rsidR="00C33F5B" w:rsidRPr="00870445" w:rsidRDefault="00FB46FA" w:rsidP="00C33F5B">
      <w:pPr>
        <w:autoSpaceDE w:val="0"/>
        <w:autoSpaceDN w:val="0"/>
        <w:adjustRightInd w:val="0"/>
        <w:ind w:firstLine="361"/>
        <w:rPr>
          <w:kern w:val="0"/>
          <w:szCs w:val="24"/>
        </w:rPr>
      </w:pPr>
      <w:r>
        <w:rPr>
          <w:b/>
          <w:kern w:val="0"/>
          <w:szCs w:val="24"/>
        </w:rPr>
        <w:t>Figure E</w:t>
      </w:r>
      <w:r w:rsidR="00C33F5B" w:rsidRPr="00F76B10">
        <w:rPr>
          <w:b/>
          <w:kern w:val="0"/>
          <w:szCs w:val="24"/>
        </w:rPr>
        <w:t>.</w:t>
      </w:r>
      <w:r w:rsidR="00C33F5B" w:rsidRPr="00870445">
        <w:rPr>
          <w:kern w:val="0"/>
          <w:szCs w:val="24"/>
        </w:rPr>
        <w:t xml:space="preserve"> ESI-MS spectrum of peak 1 (</w:t>
      </w:r>
      <w:r>
        <w:rPr>
          <w:b/>
          <w:kern w:val="0"/>
          <w:szCs w:val="24"/>
        </w:rPr>
        <w:t>1</w:t>
      </w:r>
      <w:r w:rsidR="00C33F5B" w:rsidRPr="00870445">
        <w:rPr>
          <w:kern w:val="0"/>
          <w:szCs w:val="24"/>
        </w:rPr>
        <w:t>) and peak 2 (</w:t>
      </w:r>
      <w:r>
        <w:rPr>
          <w:b/>
          <w:kern w:val="0"/>
          <w:szCs w:val="24"/>
        </w:rPr>
        <w:t>2</w:t>
      </w:r>
      <w:r w:rsidR="00C33F5B" w:rsidRPr="00870445">
        <w:rPr>
          <w:kern w:val="0"/>
          <w:szCs w:val="24"/>
        </w:rPr>
        <w:t>)</w:t>
      </w:r>
    </w:p>
    <w:p w:rsidR="00C33F5B" w:rsidRPr="00FD6E2A" w:rsidRDefault="00C33F5B" w:rsidP="00FD6E2A">
      <w:pPr>
        <w:widowControl/>
        <w:ind w:firstLine="360"/>
        <w:rPr>
          <w:rFonts w:eastAsiaTheme="minorEastAsia"/>
          <w:kern w:val="0"/>
          <w:szCs w:val="24"/>
        </w:rPr>
      </w:pPr>
    </w:p>
    <w:p w:rsidR="0068088F" w:rsidRPr="00FD6E2A" w:rsidRDefault="0068088F" w:rsidP="00FD6E2A">
      <w:pPr>
        <w:widowControl/>
        <w:ind w:firstLineChars="0" w:firstLine="0"/>
        <w:rPr>
          <w:rFonts w:eastAsiaTheme="minorEastAsia"/>
        </w:rPr>
      </w:pPr>
    </w:p>
    <w:sectPr w:rsidR="0068088F" w:rsidRPr="00FD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95p2wjt55p2e9xv15pt2d20w09dera92w&quot;&gt;李续-四嗪&lt;record-ids&gt;&lt;item&gt;10&lt;/item&gt;&lt;/record-ids&gt;&lt;/item&gt;&lt;/Libraries&gt;"/>
  </w:docVars>
  <w:rsids>
    <w:rsidRoot w:val="0038218D"/>
    <w:rsid w:val="000349E6"/>
    <w:rsid w:val="000718D9"/>
    <w:rsid w:val="000A3833"/>
    <w:rsid w:val="000B33F1"/>
    <w:rsid w:val="000E0253"/>
    <w:rsid w:val="0011158F"/>
    <w:rsid w:val="00116C43"/>
    <w:rsid w:val="00123C17"/>
    <w:rsid w:val="00146377"/>
    <w:rsid w:val="00147C80"/>
    <w:rsid w:val="00162C76"/>
    <w:rsid w:val="001C76D8"/>
    <w:rsid w:val="0024277A"/>
    <w:rsid w:val="002706DA"/>
    <w:rsid w:val="002C0E72"/>
    <w:rsid w:val="00311D21"/>
    <w:rsid w:val="00362C63"/>
    <w:rsid w:val="0038218D"/>
    <w:rsid w:val="003F49DE"/>
    <w:rsid w:val="004558D9"/>
    <w:rsid w:val="0047331E"/>
    <w:rsid w:val="00497CFB"/>
    <w:rsid w:val="004B2404"/>
    <w:rsid w:val="00503B75"/>
    <w:rsid w:val="005440F5"/>
    <w:rsid w:val="00546716"/>
    <w:rsid w:val="00597509"/>
    <w:rsid w:val="00606CEE"/>
    <w:rsid w:val="0063298E"/>
    <w:rsid w:val="0068088F"/>
    <w:rsid w:val="00695998"/>
    <w:rsid w:val="006B339E"/>
    <w:rsid w:val="00761035"/>
    <w:rsid w:val="00762851"/>
    <w:rsid w:val="0078670A"/>
    <w:rsid w:val="007B5D08"/>
    <w:rsid w:val="007B7601"/>
    <w:rsid w:val="007C3A57"/>
    <w:rsid w:val="008A0ABF"/>
    <w:rsid w:val="008D2CC3"/>
    <w:rsid w:val="008E1A4E"/>
    <w:rsid w:val="00921DFE"/>
    <w:rsid w:val="00921FAB"/>
    <w:rsid w:val="009266FF"/>
    <w:rsid w:val="0097766D"/>
    <w:rsid w:val="009D660F"/>
    <w:rsid w:val="009F688C"/>
    <w:rsid w:val="00A03EB3"/>
    <w:rsid w:val="00A054BE"/>
    <w:rsid w:val="00A336C1"/>
    <w:rsid w:val="00A85699"/>
    <w:rsid w:val="00A95978"/>
    <w:rsid w:val="00A96D2A"/>
    <w:rsid w:val="00AD6FCC"/>
    <w:rsid w:val="00B03750"/>
    <w:rsid w:val="00B2117E"/>
    <w:rsid w:val="00B35906"/>
    <w:rsid w:val="00B9349E"/>
    <w:rsid w:val="00BC6BDC"/>
    <w:rsid w:val="00BD036F"/>
    <w:rsid w:val="00BE3D2E"/>
    <w:rsid w:val="00C33F5B"/>
    <w:rsid w:val="00C619ED"/>
    <w:rsid w:val="00CE4281"/>
    <w:rsid w:val="00D15C6C"/>
    <w:rsid w:val="00D210ED"/>
    <w:rsid w:val="00D267D5"/>
    <w:rsid w:val="00D44EE1"/>
    <w:rsid w:val="00D514C5"/>
    <w:rsid w:val="00D64E04"/>
    <w:rsid w:val="00D84B55"/>
    <w:rsid w:val="00D924C3"/>
    <w:rsid w:val="00DA0812"/>
    <w:rsid w:val="00DE754E"/>
    <w:rsid w:val="00E0382A"/>
    <w:rsid w:val="00E47255"/>
    <w:rsid w:val="00E54008"/>
    <w:rsid w:val="00E70102"/>
    <w:rsid w:val="00E7458D"/>
    <w:rsid w:val="00EC6F27"/>
    <w:rsid w:val="00F534E3"/>
    <w:rsid w:val="00F54D58"/>
    <w:rsid w:val="00F60F2B"/>
    <w:rsid w:val="00F81A31"/>
    <w:rsid w:val="00F95586"/>
    <w:rsid w:val="00FB46FA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0C0C1-5CCA-4093-84DF-0E862F52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EE"/>
    <w:pPr>
      <w:widowControl w:val="0"/>
      <w:spacing w:line="360" w:lineRule="auto"/>
      <w:ind w:firstLineChars="150" w:firstLine="15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054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54BE"/>
    <w:rPr>
      <w:rFonts w:ascii="Calibri" w:eastAsia="宋体" w:hAnsi="Calibri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A054BE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A054BE"/>
    <w:rPr>
      <w:rFonts w:ascii="Calibri" w:eastAsia="宋体" w:hAnsi="Calibri" w:cs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5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5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Chunbo He</dc:creator>
  <cp:keywords/>
  <dc:description/>
  <cp:lastModifiedBy>Chunbo He</cp:lastModifiedBy>
  <cp:revision>82</cp:revision>
  <dcterms:created xsi:type="dcterms:W3CDTF">2015-07-07T01:21:00Z</dcterms:created>
  <dcterms:modified xsi:type="dcterms:W3CDTF">2015-10-20T03:00:00Z</dcterms:modified>
</cp:coreProperties>
</file>