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7CF6F" w14:textId="00C21206" w:rsidR="005C5276" w:rsidRPr="002834A6" w:rsidRDefault="009D1544" w:rsidP="005C5276">
      <w:pPr>
        <w:spacing w:line="276" w:lineRule="auto"/>
        <w:rPr>
          <w:b/>
        </w:rPr>
      </w:pPr>
      <w:r>
        <w:rPr>
          <w:b/>
        </w:rPr>
        <w:t>S</w:t>
      </w:r>
      <w:r w:rsidR="00D810D0">
        <w:rPr>
          <w:b/>
        </w:rPr>
        <w:t>3</w:t>
      </w:r>
      <w:r>
        <w:rPr>
          <w:b/>
        </w:rPr>
        <w:t xml:space="preserve"> Table</w:t>
      </w:r>
      <w:r w:rsidR="006B3B0A" w:rsidRPr="006B3B0A">
        <w:rPr>
          <w:b/>
        </w:rPr>
        <w:t xml:space="preserve">. </w:t>
      </w:r>
      <w:r w:rsidR="005C5276" w:rsidRPr="002834A6">
        <w:rPr>
          <w:b/>
        </w:rPr>
        <w:t>Robustness of results and conclusions of the analyses</w:t>
      </w:r>
      <w:r w:rsidR="005C5276">
        <w:rPr>
          <w:b/>
        </w:rPr>
        <w:t xml:space="preserve"> (</w:t>
      </w:r>
      <w:r w:rsidR="00D04965">
        <w:rPr>
          <w:b/>
        </w:rPr>
        <w:t>including</w:t>
      </w:r>
      <w:r w:rsidR="005C5276">
        <w:rPr>
          <w:b/>
        </w:rPr>
        <w:t xml:space="preserve"> </w:t>
      </w:r>
      <w:r w:rsidR="005C5276" w:rsidRPr="005C5276">
        <w:rPr>
          <w:b/>
          <w:i/>
        </w:rPr>
        <w:t>p</w:t>
      </w:r>
      <w:r w:rsidR="005C5276">
        <w:rPr>
          <w:b/>
        </w:rPr>
        <w:t>-uniform estimates)</w:t>
      </w:r>
    </w:p>
    <w:p w14:paraId="7A6DBCF2" w14:textId="77777777" w:rsidR="005C5276" w:rsidRDefault="005C5276" w:rsidP="005C5276">
      <w:pPr>
        <w:ind w:left="-86"/>
      </w:pPr>
    </w:p>
    <w:tbl>
      <w:tblPr>
        <w:tblStyle w:val="TableGrid"/>
        <w:tblW w:w="11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877"/>
        <w:gridCol w:w="877"/>
        <w:gridCol w:w="876"/>
        <w:gridCol w:w="1038"/>
        <w:gridCol w:w="1135"/>
        <w:gridCol w:w="1038"/>
        <w:gridCol w:w="1218"/>
        <w:gridCol w:w="2659"/>
      </w:tblGrid>
      <w:tr w:rsidR="005C5276" w:rsidRPr="005262F8" w14:paraId="5FED15CB" w14:textId="77777777" w:rsidTr="005C5276">
        <w:trPr>
          <w:tblHeader/>
        </w:trPr>
        <w:tc>
          <w:tcPr>
            <w:tcW w:w="1982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65397" w14:textId="77777777" w:rsidR="005C5276" w:rsidRPr="005262F8" w:rsidRDefault="005C5276" w:rsidP="005D7FB5">
            <w:pPr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Distribution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21B0C1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Lowest value</w:t>
            </w:r>
          </w:p>
        </w:tc>
        <w:tc>
          <w:tcPr>
            <w:tcW w:w="877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6C157" w14:textId="77777777" w:rsidR="005C5276" w:rsidRPr="00A40C75" w:rsidRDefault="00E82B10" w:rsidP="005D7FB5">
            <w:pPr>
              <w:jc w:val="center"/>
              <w:rPr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</w:rPr>
                    </m:ctrlPr>
                  </m:sSubPr>
                  <m:e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</m:t>
                        </m:r>
                      </m:e>
                    </m:acc>
                  </m:e>
                  <m: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>RE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876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B40FBB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Highest value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CC4CC8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BRE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AA51F4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Practical difference</w:t>
            </w:r>
          </w:p>
        </w:tc>
        <w:tc>
          <w:tcPr>
            <w:tcW w:w="1038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6A116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MRE</w:t>
            </w:r>
          </w:p>
        </w:tc>
        <w:tc>
          <w:tcPr>
            <w:tcW w:w="1218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2E793F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Practical difference</w:t>
            </w:r>
          </w:p>
        </w:tc>
        <w:tc>
          <w:tcPr>
            <w:tcW w:w="2659" w:type="dxa"/>
            <w:tcBorders>
              <w:top w:val="single" w:sz="12" w:space="0" w:color="auto"/>
              <w:bottom w:val="single" w:sz="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EE3ED4" w14:textId="77777777" w:rsidR="005C5276" w:rsidRPr="005262F8" w:rsidRDefault="005C5276" w:rsidP="005D7FB5">
            <w:pPr>
              <w:jc w:val="center"/>
              <w:rPr>
                <w:sz w:val="20"/>
                <w:szCs w:val="20"/>
              </w:rPr>
            </w:pPr>
            <w:r w:rsidRPr="005262F8">
              <w:rPr>
                <w:sz w:val="20"/>
                <w:szCs w:val="20"/>
              </w:rPr>
              <w:t>Conclusion</w:t>
            </w:r>
            <w:r>
              <w:rPr>
                <w:sz w:val="20"/>
                <w:szCs w:val="20"/>
              </w:rPr>
              <w:t xml:space="preserve"> </w:t>
            </w:r>
            <w:r w:rsidRPr="00574CE9">
              <w:rPr>
                <w:sz w:val="20"/>
                <w:szCs w:val="20"/>
                <w:vertAlign w:val="superscript"/>
              </w:rPr>
              <w:t>a</w:t>
            </w:r>
          </w:p>
        </w:tc>
      </w:tr>
      <w:tr w:rsidR="005C5276" w:rsidRPr="00D50F6D" w14:paraId="71B20773" w14:textId="77777777" w:rsidTr="005C5276">
        <w:tc>
          <w:tcPr>
            <w:tcW w:w="1982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0" w:type="dxa"/>
              <w:right w:w="0" w:type="dxa"/>
            </w:tcMar>
          </w:tcPr>
          <w:p w14:paraId="2569F13A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Conscientiousness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0" w:type="dxa"/>
              <w:right w:w="29" w:type="dxa"/>
            </w:tcMar>
          </w:tcPr>
          <w:p w14:paraId="6C5807CC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.12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77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0" w:type="dxa"/>
              <w:right w:w="29" w:type="dxa"/>
            </w:tcMar>
          </w:tcPr>
          <w:p w14:paraId="0830132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.16</w:t>
            </w:r>
          </w:p>
        </w:tc>
        <w:tc>
          <w:tcPr>
            <w:tcW w:w="876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0" w:type="dxa"/>
              <w:right w:w="29" w:type="dxa"/>
            </w:tcMar>
          </w:tcPr>
          <w:p w14:paraId="375A6966" w14:textId="00E2CEAC" w:rsidR="005C5276" w:rsidRPr="000A26B1" w:rsidRDefault="005C5276" w:rsidP="005C5276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19 </w:t>
            </w:r>
            <w:r w:rsidRPr="005C5276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0" w:type="dxa"/>
              <w:right w:w="29" w:type="dxa"/>
            </w:tcMar>
          </w:tcPr>
          <w:p w14:paraId="228A3F6E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.04</w:t>
            </w:r>
            <w:r w:rsidRPr="000A26B1">
              <w:rPr>
                <w:sz w:val="18"/>
                <w:szCs w:val="18"/>
              </w:rPr>
              <w:tab/>
              <w:t>(25%)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2CB01C7B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tcMar>
              <w:top w:w="43" w:type="dxa"/>
              <w:left w:w="29" w:type="dxa"/>
              <w:bottom w:w="0" w:type="dxa"/>
              <w:right w:w="29" w:type="dxa"/>
            </w:tcMar>
          </w:tcPr>
          <w:p w14:paraId="7B415307" w14:textId="4FE8C4DC" w:rsidR="005C5276" w:rsidRPr="000A26B1" w:rsidRDefault="005C5276" w:rsidP="005C5276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>
              <w:rPr>
                <w:sz w:val="18"/>
                <w:szCs w:val="18"/>
              </w:rPr>
              <w:t>7</w:t>
            </w:r>
            <w:r w:rsidRPr="000A26B1">
              <w:rPr>
                <w:sz w:val="18"/>
                <w:szCs w:val="18"/>
              </w:rPr>
              <w:t xml:space="preserve"> 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44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141B242A" w14:textId="60101468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Borders>
              <w:top w:val="single" w:sz="4" w:space="0" w:color="auto"/>
            </w:tcBorders>
            <w:tcMar>
              <w:top w:w="43" w:type="dxa"/>
              <w:left w:w="72" w:type="dxa"/>
              <w:bottom w:w="0" w:type="dxa"/>
              <w:right w:w="0" w:type="dxa"/>
            </w:tcMar>
          </w:tcPr>
          <w:p w14:paraId="70471308" w14:textId="63EBC4B4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rFonts w:eastAsia="Calibri"/>
                <w:sz w:val="18"/>
                <w:szCs w:val="18"/>
              </w:rPr>
              <w:t xml:space="preserve">Moderate </w:t>
            </w:r>
            <w:r>
              <w:rPr>
                <w:rFonts w:eastAsia="Calibri"/>
                <w:sz w:val="18"/>
                <w:szCs w:val="18"/>
              </w:rPr>
              <w:t xml:space="preserve">to large </w:t>
            </w:r>
            <w:r w:rsidRPr="000A26B1">
              <w:rPr>
                <w:sz w:val="18"/>
                <w:szCs w:val="18"/>
              </w:rPr>
              <w:t>difference</w:t>
            </w:r>
          </w:p>
        </w:tc>
      </w:tr>
      <w:tr w:rsidR="005C5276" w:rsidRPr="00D50F6D" w14:paraId="513B808A" w14:textId="77777777" w:rsidTr="005C5276">
        <w:tc>
          <w:tcPr>
            <w:tcW w:w="1982" w:type="dxa"/>
            <w:tcMar>
              <w:top w:w="43" w:type="dxa"/>
              <w:left w:w="29" w:type="dxa"/>
              <w:bottom w:w="0" w:type="dxa"/>
              <w:right w:w="0" w:type="dxa"/>
            </w:tcMar>
            <w:vAlign w:val="center"/>
          </w:tcPr>
          <w:p w14:paraId="55D4B632" w14:textId="77777777" w:rsidR="005C5276" w:rsidRPr="000A26B1" w:rsidRDefault="005C5276" w:rsidP="005D7FB5">
            <w:pPr>
              <w:rPr>
                <w:bCs/>
                <w:color w:val="000000"/>
                <w:sz w:val="18"/>
                <w:szCs w:val="18"/>
              </w:rPr>
            </w:pPr>
            <w:r w:rsidRPr="000A26B1">
              <w:rPr>
                <w:bCs/>
                <w:color w:val="000000"/>
                <w:sz w:val="18"/>
                <w:szCs w:val="18"/>
              </w:rPr>
              <w:t>Frame of reference</w:t>
            </w:r>
          </w:p>
        </w:tc>
        <w:tc>
          <w:tcPr>
            <w:tcW w:w="877" w:type="dxa"/>
            <w:tcMar>
              <w:top w:w="43" w:type="dxa"/>
              <w:left w:w="29" w:type="dxa"/>
              <w:bottom w:w="0" w:type="dxa"/>
              <w:right w:w="29" w:type="dxa"/>
            </w:tcMar>
          </w:tcPr>
          <w:p w14:paraId="5C5E79E6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top w:w="43" w:type="dxa"/>
              <w:left w:w="29" w:type="dxa"/>
              <w:bottom w:w="0" w:type="dxa"/>
              <w:right w:w="29" w:type="dxa"/>
            </w:tcMar>
          </w:tcPr>
          <w:p w14:paraId="2F774F5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6" w:type="dxa"/>
            <w:tcMar>
              <w:top w:w="43" w:type="dxa"/>
              <w:left w:w="29" w:type="dxa"/>
              <w:bottom w:w="0" w:type="dxa"/>
              <w:right w:w="29" w:type="dxa"/>
            </w:tcMar>
          </w:tcPr>
          <w:p w14:paraId="0F2A72FA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43" w:type="dxa"/>
              <w:left w:w="29" w:type="dxa"/>
              <w:bottom w:w="0" w:type="dxa"/>
              <w:right w:w="29" w:type="dxa"/>
            </w:tcMar>
          </w:tcPr>
          <w:p w14:paraId="6A899C29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3C38CBB4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43" w:type="dxa"/>
              <w:left w:w="29" w:type="dxa"/>
              <w:bottom w:w="0" w:type="dxa"/>
              <w:right w:w="29" w:type="dxa"/>
            </w:tcMar>
          </w:tcPr>
          <w:p w14:paraId="69EB8710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tcMar>
              <w:top w:w="43" w:type="dxa"/>
              <w:left w:w="115" w:type="dxa"/>
              <w:bottom w:w="0" w:type="dxa"/>
              <w:right w:w="115" w:type="dxa"/>
            </w:tcMar>
          </w:tcPr>
          <w:p w14:paraId="0BA96661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top w:w="43" w:type="dxa"/>
              <w:left w:w="72" w:type="dxa"/>
              <w:bottom w:w="0" w:type="dxa"/>
              <w:right w:w="0" w:type="dxa"/>
            </w:tcMar>
          </w:tcPr>
          <w:p w14:paraId="7CC94A7C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</w:tr>
      <w:tr w:rsidR="005C5276" w:rsidRPr="00D50F6D" w14:paraId="6513372B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2BF13F5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76D987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27DD309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.15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015CBA6" w14:textId="514FD9A8" w:rsidR="005C5276" w:rsidRPr="000A26B1" w:rsidRDefault="005C5276" w:rsidP="005C5276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20 </w:t>
            </w:r>
            <w:r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F326ECD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.06</w:t>
            </w:r>
            <w:r w:rsidRPr="000A26B1">
              <w:rPr>
                <w:sz w:val="18"/>
                <w:szCs w:val="18"/>
              </w:rPr>
              <w:tab/>
              <w:t>(40%)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CD1A3F6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18BE704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.07</w:t>
            </w:r>
            <w:r w:rsidRPr="000A26B1">
              <w:rPr>
                <w:sz w:val="18"/>
                <w:szCs w:val="18"/>
              </w:rPr>
              <w:tab/>
              <w:t>(47%)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F2A4558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63B2FFFB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41C2E8B0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2D38578C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583510D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.17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d</w:t>
            </w:r>
            <w:r>
              <w:rPr>
                <w:sz w:val="18"/>
                <w:szCs w:val="18"/>
                <w:vertAlign w:val="superscript"/>
              </w:rPr>
              <w:t>, 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9C94C97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A8C3A23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09F1F2B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.02</w:t>
            </w:r>
            <w:r w:rsidRPr="000A26B1">
              <w:rPr>
                <w:sz w:val="18"/>
                <w:szCs w:val="18"/>
              </w:rPr>
              <w:tab/>
              <w:t>(11%)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37B6EEA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15AECFD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.03</w:t>
            </w:r>
            <w:r w:rsidRPr="000A26B1">
              <w:rPr>
                <w:sz w:val="18"/>
                <w:szCs w:val="18"/>
              </w:rPr>
              <w:tab/>
              <w:t>(16%)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842618D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55A54E8A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 difference</w:t>
            </w:r>
          </w:p>
        </w:tc>
      </w:tr>
      <w:tr w:rsidR="005C5276" w:rsidRPr="00D50F6D" w14:paraId="056B4037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6D6578A2" w14:textId="77777777" w:rsidR="005C5276" w:rsidRPr="000A26B1" w:rsidRDefault="005C5276" w:rsidP="005D7FB5">
            <w:pPr>
              <w:rPr>
                <w:bCs/>
                <w:color w:val="000000"/>
                <w:sz w:val="18"/>
                <w:szCs w:val="18"/>
              </w:rPr>
            </w:pPr>
            <w:r w:rsidRPr="000A26B1">
              <w:rPr>
                <w:bCs/>
                <w:color w:val="000000"/>
                <w:sz w:val="18"/>
                <w:szCs w:val="18"/>
              </w:rPr>
              <w:t>Source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8D1D0BE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441E675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F3303B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323B025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B295BB9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CB0B1B5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19E3D01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7E971771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</w:tr>
      <w:tr w:rsidR="005C5276" w:rsidRPr="00D50F6D" w14:paraId="19B3A827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E8B42B0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Journal articles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F8A496E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07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72FE597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387A986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b, 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67F4116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12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63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AF0C6CE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2079033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12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63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733B352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35730C82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0A5B7A4C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1C469A3D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B97E73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07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D8EB0CD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62197AB" w14:textId="1825478A" w:rsidR="005C5276" w:rsidRPr="000A26B1" w:rsidRDefault="005C5276" w:rsidP="005C5276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21 </w:t>
            </w:r>
            <w:r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1C443E1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12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63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16CD088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68890F3" w14:textId="0AD88D54" w:rsidR="005C5276" w:rsidRPr="000A26B1" w:rsidRDefault="005C5276" w:rsidP="005C5276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14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74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02DA62E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724CE0DD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  <w:r w:rsidRPr="000A26B1" w:rsidDel="005969E7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5C5276" w:rsidRPr="00D50F6D" w14:paraId="760BDC5C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26F68C8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713C32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07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C33A5BD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469F7F6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05A69F6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12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63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79FFB28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F72D984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13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68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40F6856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2E225461" w14:textId="66E60EF2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1C55BE76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4011AE6E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Non-journal articles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15D994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ECE71DD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.12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0F31E27" w14:textId="59F0729C" w:rsidR="005C5276" w:rsidRPr="000A26B1" w:rsidRDefault="005C5276" w:rsidP="005C5276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9D88EB8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.02</w:t>
            </w:r>
            <w:r w:rsidRPr="000A26B1">
              <w:rPr>
                <w:sz w:val="18"/>
                <w:szCs w:val="18"/>
              </w:rPr>
              <w:tab/>
              <w:t>(17%)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3E7E670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2801601" w14:textId="78F479B7" w:rsidR="005C5276" w:rsidRPr="000A26B1" w:rsidRDefault="005C5276" w:rsidP="005C5276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08</w:t>
            </w:r>
            <w:r>
              <w:rPr>
                <w:sz w:val="18"/>
                <w:szCs w:val="18"/>
              </w:rPr>
              <w:tab/>
              <w:t>(67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6D8EA7F" w14:textId="7D562A9C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5AA8E493" w14:textId="17D4D400" w:rsidR="005C5276" w:rsidRPr="000A26B1" w:rsidRDefault="005C5276" w:rsidP="005C5276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 xml:space="preserve">Negligible to </w:t>
            </w:r>
            <w:r>
              <w:rPr>
                <w:sz w:val="18"/>
                <w:szCs w:val="18"/>
              </w:rPr>
              <w:t>large</w:t>
            </w:r>
            <w:r w:rsidRPr="000A26B1">
              <w:rPr>
                <w:sz w:val="18"/>
                <w:szCs w:val="18"/>
              </w:rPr>
              <w:t xml:space="preserve"> difference</w:t>
            </w:r>
          </w:p>
        </w:tc>
      </w:tr>
      <w:tr w:rsidR="005C5276" w:rsidRPr="00D50F6D" w14:paraId="1B503F06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20786D4A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705811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.08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936BEC1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.11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440B2B5" w14:textId="7BDF38A5" w:rsidR="005C5276" w:rsidRPr="000A26B1" w:rsidRDefault="005C5276" w:rsidP="005C5276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9 </w:t>
            </w:r>
            <w:r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1146CE5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.03</w:t>
            </w:r>
            <w:r w:rsidRPr="000A26B1">
              <w:rPr>
                <w:sz w:val="18"/>
                <w:szCs w:val="18"/>
              </w:rPr>
              <w:tab/>
              <w:t>(27%)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7A26E4C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D6E4309" w14:textId="664FBA07" w:rsidR="005C5276" w:rsidRPr="000A26B1" w:rsidRDefault="005C5276" w:rsidP="005C5276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.11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100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A0E798D" w14:textId="09CBE101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2859E26D" w14:textId="5AD5BD65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rFonts w:eastAsia="Calibri"/>
                <w:sz w:val="18"/>
                <w:szCs w:val="18"/>
              </w:rPr>
              <w:t xml:space="preserve">Moderate </w:t>
            </w:r>
            <w:r>
              <w:rPr>
                <w:rFonts w:eastAsia="Calibri"/>
                <w:sz w:val="18"/>
                <w:szCs w:val="18"/>
              </w:rPr>
              <w:t xml:space="preserve">to large </w:t>
            </w:r>
            <w:r w:rsidRPr="000A26B1">
              <w:rPr>
                <w:sz w:val="18"/>
                <w:szCs w:val="18"/>
              </w:rPr>
              <w:t>difference</w:t>
            </w:r>
          </w:p>
        </w:tc>
      </w:tr>
      <w:tr w:rsidR="005C5276" w:rsidRPr="00D50F6D" w14:paraId="14FE9EC2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08E9155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286A6703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259ED364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071D2297" w14:textId="77777777" w:rsidR="005C5276" w:rsidRPr="000A26B1" w:rsidRDefault="005C5276" w:rsidP="005D7FB5">
            <w:pPr>
              <w:rPr>
                <w:bCs/>
                <w:color w:val="000000"/>
                <w:sz w:val="18"/>
                <w:szCs w:val="18"/>
              </w:rPr>
            </w:pPr>
            <w:r w:rsidRPr="000A26B1">
              <w:rPr>
                <w:bCs/>
                <w:color w:val="000000"/>
                <w:sz w:val="18"/>
                <w:szCs w:val="18"/>
              </w:rPr>
              <w:t>Purpose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3C4B17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BD97F1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1EE8E05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7CB33C7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98E2A97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E04BFC4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73DA508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72F11425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</w:tr>
      <w:tr w:rsidR="005C5276" w:rsidRPr="00D50F6D" w14:paraId="12BB434C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59207838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General purpose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DB0F4D4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.08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8AD45D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.14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A5D980F" w14:textId="5AFCD170" w:rsidR="005C5276" w:rsidRPr="000A26B1" w:rsidRDefault="005C5276" w:rsidP="00EF639F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 w:rsidR="00EF63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="00EF639F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39F4574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.06</w:t>
            </w:r>
            <w:r w:rsidRPr="000A26B1">
              <w:rPr>
                <w:sz w:val="18"/>
                <w:szCs w:val="18"/>
              </w:rPr>
              <w:tab/>
              <w:t>(43%)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03829FE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5AFA740" w14:textId="7AE9C13C" w:rsidR="005C5276" w:rsidRPr="000A26B1" w:rsidRDefault="005C5276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 w:rsidR="00EF639F">
              <w:rPr>
                <w:sz w:val="18"/>
                <w:szCs w:val="18"/>
              </w:rPr>
              <w:t>12</w:t>
            </w:r>
            <w:r w:rsidRPr="000A26B1">
              <w:rPr>
                <w:sz w:val="18"/>
                <w:szCs w:val="18"/>
              </w:rPr>
              <w:tab/>
              <w:t>(</w:t>
            </w:r>
            <w:r w:rsidR="00EF639F">
              <w:rPr>
                <w:sz w:val="18"/>
                <w:szCs w:val="18"/>
              </w:rPr>
              <w:t>86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EB02202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561585CF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3F070FF8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5118012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B6AF49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d, 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1377FE8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.14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932C2C4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.15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B66D118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.03</w:t>
            </w:r>
            <w:r w:rsidRPr="000A26B1">
              <w:rPr>
                <w:sz w:val="18"/>
                <w:szCs w:val="18"/>
              </w:rPr>
              <w:tab/>
              <w:t>(21%)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2702AD0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4271DAB" w14:textId="27B2F662" w:rsidR="005C5276" w:rsidRPr="000A26B1" w:rsidRDefault="005C5276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.04</w:t>
            </w:r>
            <w:r w:rsidRPr="000A26B1">
              <w:rPr>
                <w:sz w:val="18"/>
                <w:szCs w:val="18"/>
              </w:rPr>
              <w:tab/>
              <w:t>(</w:t>
            </w:r>
            <w:r w:rsidR="00EF639F">
              <w:rPr>
                <w:sz w:val="18"/>
                <w:szCs w:val="18"/>
              </w:rPr>
              <w:t>71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BA9F421" w14:textId="2D1AE33D" w:rsidR="005C5276" w:rsidRPr="000A26B1" w:rsidRDefault="00EF639F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120759A7" w14:textId="7B8C53F4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 xml:space="preserve">Moderate </w:t>
            </w:r>
            <w:r w:rsidR="00EF639F">
              <w:rPr>
                <w:sz w:val="18"/>
                <w:szCs w:val="18"/>
              </w:rPr>
              <w:t xml:space="preserve">to large </w:t>
            </w:r>
            <w:r w:rsidRPr="000A26B1">
              <w:rPr>
                <w:sz w:val="18"/>
                <w:szCs w:val="18"/>
              </w:rPr>
              <w:t>difference</w:t>
            </w:r>
          </w:p>
        </w:tc>
      </w:tr>
      <w:tr w:rsidR="005C5276" w:rsidRPr="00D50F6D" w14:paraId="70EBE18D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0CFC6EB2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4B2F4EB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4BF41F85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2438CFF7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Workplace purpose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28F0661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16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3F4944D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8EA186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7B602E0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03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16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C9929B5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AE1F8E5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04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21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A1631A5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707B7994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 to moderate difference</w:t>
            </w:r>
          </w:p>
        </w:tc>
      </w:tr>
      <w:tr w:rsidR="005C5276" w:rsidRPr="00D50F6D" w14:paraId="64D8D8BF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6F6A1BC9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4B8F27E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09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63BAB02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A1C4065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8DF4646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10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53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897AE43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E054172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11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58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AAC649E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529CCFB3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55658656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6E00059B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1E3EC92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c, d, e, f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FF747D2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C8B38A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.21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4083D5A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.01</w:t>
            </w:r>
            <w:r w:rsidRPr="000A26B1">
              <w:rPr>
                <w:sz w:val="18"/>
                <w:szCs w:val="18"/>
              </w:rPr>
              <w:tab/>
              <w:t>(5%)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B26567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8D04351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.02</w:t>
            </w:r>
            <w:r w:rsidRPr="000A26B1">
              <w:rPr>
                <w:sz w:val="18"/>
                <w:szCs w:val="18"/>
              </w:rPr>
              <w:tab/>
              <w:t>(10%)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8B3285C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5C20122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 difference</w:t>
            </w:r>
          </w:p>
        </w:tc>
      </w:tr>
      <w:tr w:rsidR="005C5276" w:rsidRPr="00D50F6D" w14:paraId="1CDBA1CF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2DF6A1C" w14:textId="77777777" w:rsidR="005C5276" w:rsidRPr="000A26B1" w:rsidRDefault="005C5276" w:rsidP="005D7FB5">
            <w:pPr>
              <w:rPr>
                <w:bCs/>
                <w:color w:val="000000"/>
                <w:sz w:val="18"/>
                <w:szCs w:val="18"/>
              </w:rPr>
            </w:pPr>
            <w:r w:rsidRPr="000A26B1">
              <w:rPr>
                <w:bCs/>
                <w:color w:val="000000"/>
                <w:sz w:val="18"/>
                <w:szCs w:val="18"/>
              </w:rPr>
              <w:t>Sample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FF677F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D65C0C8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3A1A85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BC53E1F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8ECFD9B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6CA150D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1966360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016F1094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</w:tr>
      <w:tr w:rsidR="005C5276" w:rsidRPr="00D50F6D" w14:paraId="16B5A4F0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0DB4F56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Incumbents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87F6C38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.11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B679DF5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.16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123C108" w14:textId="6536D9ED" w:rsidR="005C5276" w:rsidRPr="000A26B1" w:rsidRDefault="005C5276" w:rsidP="00EF639F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 w:rsidR="00EF639F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="00EF639F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3B121A7" w14:textId="06FB512F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 w:rsidR="00EF639F">
              <w:rPr>
                <w:sz w:val="18"/>
                <w:szCs w:val="18"/>
              </w:rPr>
              <w:t>5</w:t>
            </w:r>
            <w:r w:rsidRPr="000A26B1">
              <w:rPr>
                <w:sz w:val="18"/>
                <w:szCs w:val="18"/>
              </w:rPr>
              <w:tab/>
              <w:t>(31%)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D64E407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28CAAA6" w14:textId="165A2D96" w:rsidR="005C5276" w:rsidRPr="000A26B1" w:rsidRDefault="005C5276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 w:rsidR="00EF639F">
              <w:rPr>
                <w:sz w:val="18"/>
                <w:szCs w:val="18"/>
              </w:rPr>
              <w:t>8</w:t>
            </w:r>
            <w:r w:rsidRPr="000A26B1">
              <w:rPr>
                <w:sz w:val="18"/>
                <w:szCs w:val="18"/>
              </w:rPr>
              <w:tab/>
              <w:t>(</w:t>
            </w:r>
            <w:r w:rsidR="00EF639F">
              <w:rPr>
                <w:sz w:val="18"/>
                <w:szCs w:val="18"/>
              </w:rPr>
              <w:t>50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97B6E6F" w14:textId="1FDC58F4" w:rsidR="005C5276" w:rsidRPr="000A26B1" w:rsidRDefault="00EF639F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7F4860C7" w14:textId="634D4482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rFonts w:eastAsia="Calibri"/>
                <w:sz w:val="18"/>
                <w:szCs w:val="18"/>
              </w:rPr>
              <w:t xml:space="preserve">Moderate </w:t>
            </w:r>
            <w:r w:rsidR="00EF639F">
              <w:rPr>
                <w:rFonts w:eastAsia="Calibri"/>
                <w:sz w:val="18"/>
                <w:szCs w:val="18"/>
              </w:rPr>
              <w:t xml:space="preserve">to large </w:t>
            </w:r>
            <w:r w:rsidRPr="000A26B1">
              <w:rPr>
                <w:sz w:val="18"/>
                <w:szCs w:val="18"/>
              </w:rPr>
              <w:t>difference</w:t>
            </w:r>
          </w:p>
        </w:tc>
      </w:tr>
      <w:tr w:rsidR="005C5276" w:rsidRPr="00D50F6D" w14:paraId="520B4CB3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51853B5E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F43571E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5720F29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.15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3BC7C14" w14:textId="3289F419" w:rsidR="005C5276" w:rsidRPr="000A26B1" w:rsidRDefault="005C5276" w:rsidP="00EF639F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 w:rsidR="00EF63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="00EF639F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0F0B91F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.06</w:t>
            </w:r>
            <w:r w:rsidRPr="000A26B1">
              <w:rPr>
                <w:sz w:val="18"/>
                <w:szCs w:val="18"/>
              </w:rPr>
              <w:tab/>
              <w:t>(40%)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DFABA64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6CD9041" w14:textId="1F5274CD" w:rsidR="005C5276" w:rsidRPr="000A26B1" w:rsidRDefault="00EF639F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.11</w:t>
            </w:r>
            <w:r w:rsidR="005C5276"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73</w:t>
            </w:r>
            <w:r w:rsidR="005C5276"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723E641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174520E2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4DC5F8C3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168A5DA0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5367A7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11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6063CE5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85AE01A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1542727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>
              <w:rPr>
                <w:sz w:val="18"/>
                <w:szCs w:val="18"/>
              </w:rPr>
              <w:t>08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42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46ED79E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B5270B6" w14:textId="72F1A9FE" w:rsidR="005C5276" w:rsidRPr="000A26B1" w:rsidRDefault="005C5276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 w:rsidR="00EF639F">
              <w:rPr>
                <w:sz w:val="18"/>
                <w:szCs w:val="18"/>
              </w:rPr>
              <w:t>09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47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4BAC552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5C308E0A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  <w:r w:rsidRPr="000A26B1" w:rsidDel="005969E7">
              <w:rPr>
                <w:sz w:val="18"/>
                <w:szCs w:val="18"/>
              </w:rPr>
              <w:t xml:space="preserve"> </w:t>
            </w:r>
          </w:p>
        </w:tc>
      </w:tr>
      <w:tr w:rsidR="005C5276" w:rsidRPr="00D50F6D" w14:paraId="23D34A1C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EE53698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Applicants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7A6C3251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0AA3CE5E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BCED13C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483DEC6C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68F6C61D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4930AB8A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6B319A3B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2B7B6AB3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5E1B29F7" w14:textId="77777777" w:rsidR="005C5276" w:rsidRPr="000A26B1" w:rsidRDefault="005C5276" w:rsidP="005D7FB5">
            <w:pPr>
              <w:rPr>
                <w:bCs/>
                <w:color w:val="000000"/>
                <w:sz w:val="18"/>
                <w:szCs w:val="18"/>
              </w:rPr>
            </w:pPr>
            <w:r w:rsidRPr="000A26B1">
              <w:rPr>
                <w:bCs/>
                <w:color w:val="000000"/>
                <w:sz w:val="18"/>
                <w:szCs w:val="18"/>
              </w:rPr>
              <w:t>Design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325C3FE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ADCCA4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347F76E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AEC0C4D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CA0E1E7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307458B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903AB42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6CCDBA92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</w:tr>
      <w:tr w:rsidR="005C5276" w:rsidRPr="00D50F6D" w14:paraId="4D8D62B1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8B93204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Concurrent design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3C086E4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1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C039E95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.15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1E7BE74" w14:textId="1DBE6A85" w:rsidR="005C5276" w:rsidRPr="000A26B1" w:rsidRDefault="005C5276" w:rsidP="00EF639F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 w:rsidR="00EF639F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="00EF639F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2823997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>
              <w:rPr>
                <w:sz w:val="18"/>
                <w:szCs w:val="18"/>
              </w:rPr>
              <w:t>4</w:t>
            </w:r>
            <w:r w:rsidRPr="000A26B1">
              <w:rPr>
                <w:sz w:val="18"/>
                <w:szCs w:val="18"/>
              </w:rPr>
              <w:tab/>
              <w:t>(2</w:t>
            </w:r>
            <w:r>
              <w:rPr>
                <w:sz w:val="18"/>
                <w:szCs w:val="18"/>
              </w:rPr>
              <w:t>7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8E81A56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B475631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>
              <w:rPr>
                <w:sz w:val="18"/>
                <w:szCs w:val="18"/>
              </w:rPr>
              <w:t>5</w:t>
            </w:r>
            <w:r w:rsidRPr="000A26B1">
              <w:rPr>
                <w:sz w:val="18"/>
                <w:szCs w:val="18"/>
              </w:rPr>
              <w:tab/>
              <w:t>(</w:t>
            </w:r>
            <w:r>
              <w:rPr>
                <w:sz w:val="18"/>
                <w:szCs w:val="18"/>
              </w:rPr>
              <w:t>31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AC286DD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13BCD03D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rFonts w:eastAsia="Calibri"/>
                <w:sz w:val="18"/>
                <w:szCs w:val="18"/>
              </w:rPr>
              <w:t xml:space="preserve">Moderate </w:t>
            </w:r>
            <w:r w:rsidRPr="000A26B1">
              <w:rPr>
                <w:sz w:val="18"/>
                <w:szCs w:val="18"/>
              </w:rPr>
              <w:t>difference</w:t>
            </w:r>
          </w:p>
        </w:tc>
      </w:tr>
      <w:tr w:rsidR="005C5276" w:rsidRPr="00D50F6D" w14:paraId="57907328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440FF26C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2D3F612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.09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893EC68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.15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DE0F96B" w14:textId="572F5DCC" w:rsidR="005C5276" w:rsidRPr="000A26B1" w:rsidRDefault="005C5276" w:rsidP="00EF639F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 w:rsidR="00EF639F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 xml:space="preserve"> </w:t>
            </w:r>
            <w:r w:rsidR="00EF639F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ACD5B15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.06</w:t>
            </w:r>
            <w:r w:rsidRPr="000A26B1">
              <w:rPr>
                <w:sz w:val="18"/>
                <w:szCs w:val="18"/>
              </w:rPr>
              <w:tab/>
              <w:t>(40%)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32C0CF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BFA65DA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.06</w:t>
            </w:r>
            <w:r w:rsidRPr="000A26B1">
              <w:rPr>
                <w:sz w:val="18"/>
                <w:szCs w:val="18"/>
              </w:rPr>
              <w:tab/>
              <w:t>(40%)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0223B4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3C48FFF7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rFonts w:eastAsia="Calibri"/>
                <w:sz w:val="18"/>
                <w:szCs w:val="18"/>
              </w:rPr>
              <w:t xml:space="preserve">Large </w:t>
            </w:r>
            <w:r w:rsidRPr="000A26B1">
              <w:rPr>
                <w:sz w:val="18"/>
                <w:szCs w:val="18"/>
              </w:rPr>
              <w:t>difference</w:t>
            </w:r>
          </w:p>
        </w:tc>
      </w:tr>
      <w:tr w:rsidR="005C5276" w:rsidRPr="00D50F6D" w14:paraId="79364FD5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5B9EB83F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30F263F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  <w:vertAlign w:val="superscript"/>
              </w:rPr>
              <w:t>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73B252A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.18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30D93DA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.19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AEDD2A2" w14:textId="61C95115" w:rsidR="005C5276" w:rsidRPr="000A26B1" w:rsidRDefault="005C5276" w:rsidP="00EF639F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 w:rsidR="00EF639F">
              <w:rPr>
                <w:sz w:val="18"/>
                <w:szCs w:val="18"/>
              </w:rPr>
              <w:t>7</w:t>
            </w:r>
            <w:r w:rsidR="00EF639F">
              <w:rPr>
                <w:sz w:val="18"/>
                <w:szCs w:val="18"/>
              </w:rPr>
              <w:tab/>
              <w:t>(39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0B672C8" w14:textId="75E51342" w:rsidR="005C5276" w:rsidRPr="000A26B1" w:rsidRDefault="00EF639F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25E4C02" w14:textId="5954CD0E" w:rsidR="005C5276" w:rsidRPr="000A26B1" w:rsidRDefault="005C5276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</w:t>
            </w:r>
            <w:r w:rsidR="00EF639F">
              <w:rPr>
                <w:sz w:val="18"/>
                <w:szCs w:val="18"/>
              </w:rPr>
              <w:t>8</w:t>
            </w:r>
            <w:r w:rsidRPr="000A26B1">
              <w:rPr>
                <w:sz w:val="18"/>
                <w:szCs w:val="18"/>
              </w:rPr>
              <w:tab/>
              <w:t>(</w:t>
            </w:r>
            <w:r w:rsidR="00EF639F">
              <w:rPr>
                <w:sz w:val="18"/>
                <w:szCs w:val="18"/>
              </w:rPr>
              <w:t>44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1696AB31" w14:textId="76BF798C" w:rsidR="005C5276" w:rsidRPr="000A26B1" w:rsidRDefault="00EF639F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2D322EB3" w14:textId="161F8D25" w:rsidR="005C5276" w:rsidRPr="000A26B1" w:rsidRDefault="00EF639F" w:rsidP="005D7F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Moderate to large</w:t>
            </w:r>
            <w:r w:rsidR="005C5276" w:rsidRPr="000A26B1">
              <w:rPr>
                <w:sz w:val="18"/>
                <w:szCs w:val="18"/>
              </w:rPr>
              <w:t xml:space="preserve"> difference</w:t>
            </w:r>
          </w:p>
        </w:tc>
      </w:tr>
      <w:tr w:rsidR="005C5276" w:rsidRPr="00D50F6D" w14:paraId="50BD066F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3A1912C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Predictive design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584B02F3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593668B1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EACA836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Non-contextualized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40BE224B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68558A51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175B3927" w14:textId="77777777" w:rsidR="005C5276" w:rsidRPr="000A26B1" w:rsidRDefault="005C5276" w:rsidP="005D7FB5">
            <w:pPr>
              <w:ind w:firstLineChars="100" w:firstLine="180"/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Contextualized</w:t>
            </w:r>
          </w:p>
        </w:tc>
        <w:tc>
          <w:tcPr>
            <w:tcW w:w="9718" w:type="dxa"/>
            <w:gridSpan w:val="8"/>
            <w:tcMar>
              <w:top w:w="14" w:type="dxa"/>
              <w:left w:w="29" w:type="dxa"/>
              <w:bottom w:w="0" w:type="dxa"/>
              <w:right w:w="29" w:type="dxa"/>
            </w:tcMar>
            <w:vAlign w:val="center"/>
          </w:tcPr>
          <w:p w14:paraId="21AC4165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i/>
                <w:sz w:val="18"/>
                <w:szCs w:val="18"/>
              </w:rPr>
              <w:t>Distribution is too small to reach definite conclusions regarding the robustness of the meta-analytic mean estimate</w:t>
            </w:r>
          </w:p>
        </w:tc>
      </w:tr>
      <w:tr w:rsidR="005C5276" w:rsidRPr="00D50F6D" w14:paraId="21CA3144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34A84255" w14:textId="77777777" w:rsidR="005C5276" w:rsidRPr="000A26B1" w:rsidRDefault="005C5276" w:rsidP="005D7FB5">
            <w:pPr>
              <w:rPr>
                <w:bCs/>
                <w:color w:val="000000"/>
                <w:sz w:val="18"/>
                <w:szCs w:val="18"/>
              </w:rPr>
            </w:pPr>
            <w:r w:rsidRPr="000A26B1">
              <w:rPr>
                <w:bCs/>
                <w:color w:val="000000"/>
                <w:sz w:val="18"/>
                <w:szCs w:val="18"/>
              </w:rPr>
              <w:t>Scale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60588DA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D5FE219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27196D3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AB3E9E7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7321272B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9E89E2C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4C08DA12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0AA2C773" w14:textId="77777777" w:rsidR="005C5276" w:rsidRPr="000A26B1" w:rsidRDefault="005C5276" w:rsidP="005D7FB5">
            <w:pPr>
              <w:rPr>
                <w:sz w:val="18"/>
                <w:szCs w:val="18"/>
              </w:rPr>
            </w:pPr>
          </w:p>
        </w:tc>
      </w:tr>
      <w:tr w:rsidR="005C5276" w:rsidRPr="00D50F6D" w14:paraId="5828B895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64D0B0CD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NEO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51BA408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.08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f</w:t>
            </w:r>
            <w:r>
              <w:rPr>
                <w:sz w:val="18"/>
                <w:szCs w:val="18"/>
                <w:vertAlign w:val="superscript"/>
              </w:rPr>
              <w:t>, g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00708E8B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.14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7919107B" w14:textId="0C9CF28A" w:rsidR="005C5276" w:rsidRPr="000A26B1" w:rsidRDefault="005C5276" w:rsidP="00EF639F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</w:t>
            </w:r>
            <w:r w:rsidR="00EF639F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 xml:space="preserve"> </w:t>
            </w:r>
            <w:r w:rsidR="00EF639F">
              <w:rPr>
                <w:sz w:val="18"/>
                <w:szCs w:val="18"/>
                <w:vertAlign w:val="superscript"/>
              </w:rPr>
              <w:t>h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19A4268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.06</w:t>
            </w:r>
            <w:r w:rsidRPr="000A26B1">
              <w:rPr>
                <w:sz w:val="18"/>
                <w:szCs w:val="18"/>
              </w:rPr>
              <w:tab/>
              <w:t>(43%)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25F2819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6362A10C" w14:textId="284BBBF8" w:rsidR="005C5276" w:rsidRPr="000A26B1" w:rsidRDefault="005C5276" w:rsidP="00EF639F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</w:t>
            </w:r>
            <w:r w:rsidR="00EF639F">
              <w:rPr>
                <w:sz w:val="18"/>
                <w:szCs w:val="18"/>
              </w:rPr>
              <w:t>11</w:t>
            </w:r>
            <w:r w:rsidRPr="000A26B1">
              <w:rPr>
                <w:sz w:val="18"/>
                <w:szCs w:val="18"/>
              </w:rPr>
              <w:tab/>
              <w:t>(</w:t>
            </w:r>
            <w:r w:rsidR="00EF639F">
              <w:rPr>
                <w:sz w:val="18"/>
                <w:szCs w:val="18"/>
              </w:rPr>
              <w:t>79</w:t>
            </w:r>
            <w:r w:rsidRPr="000A26B1">
              <w:rPr>
                <w:sz w:val="18"/>
                <w:szCs w:val="18"/>
              </w:rPr>
              <w:t>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59C93ABA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17DEC498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Large difference</w:t>
            </w:r>
          </w:p>
        </w:tc>
      </w:tr>
      <w:tr w:rsidR="005C5276" w:rsidRPr="00D50F6D" w14:paraId="514FCCA8" w14:textId="77777777" w:rsidTr="005C5276">
        <w:tc>
          <w:tcPr>
            <w:tcW w:w="1982" w:type="dxa"/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2D3E2344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PCI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3DBBA33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877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F830FD7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.24</w:t>
            </w:r>
          </w:p>
        </w:tc>
        <w:tc>
          <w:tcPr>
            <w:tcW w:w="876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20398BA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.25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F06E772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.04</w:t>
            </w:r>
            <w:r w:rsidRPr="000A26B1">
              <w:rPr>
                <w:sz w:val="18"/>
                <w:szCs w:val="18"/>
              </w:rPr>
              <w:tab/>
              <w:t>(17%)</w:t>
            </w:r>
          </w:p>
        </w:tc>
        <w:tc>
          <w:tcPr>
            <w:tcW w:w="1135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66E9CC04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1038" w:type="dxa"/>
            <w:tcMar>
              <w:top w:w="14" w:type="dxa"/>
              <w:left w:w="29" w:type="dxa"/>
              <w:bottom w:w="0" w:type="dxa"/>
              <w:right w:w="29" w:type="dxa"/>
            </w:tcMar>
          </w:tcPr>
          <w:p w14:paraId="324499DC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.05</w:t>
            </w:r>
            <w:r w:rsidRPr="000A26B1">
              <w:rPr>
                <w:sz w:val="18"/>
                <w:szCs w:val="18"/>
              </w:rPr>
              <w:tab/>
              <w:t>(21%)</w:t>
            </w:r>
          </w:p>
        </w:tc>
        <w:tc>
          <w:tcPr>
            <w:tcW w:w="1218" w:type="dxa"/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CCF4FB0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moderate</w:t>
            </w:r>
          </w:p>
        </w:tc>
        <w:tc>
          <w:tcPr>
            <w:tcW w:w="2659" w:type="dxa"/>
            <w:tcMar>
              <w:top w:w="14" w:type="dxa"/>
              <w:left w:w="72" w:type="dxa"/>
              <w:bottom w:w="0" w:type="dxa"/>
              <w:right w:w="0" w:type="dxa"/>
            </w:tcMar>
          </w:tcPr>
          <w:p w14:paraId="0830C05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 to moderate difference</w:t>
            </w:r>
          </w:p>
        </w:tc>
      </w:tr>
      <w:tr w:rsidR="005C5276" w:rsidRPr="00D50F6D" w14:paraId="5B8370E5" w14:textId="77777777" w:rsidTr="005C5276">
        <w:tc>
          <w:tcPr>
            <w:tcW w:w="1982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0" w:type="dxa"/>
              <w:right w:w="0" w:type="dxa"/>
            </w:tcMar>
            <w:vAlign w:val="center"/>
          </w:tcPr>
          <w:p w14:paraId="7D6B16F4" w14:textId="77777777" w:rsidR="005C5276" w:rsidRPr="000A26B1" w:rsidRDefault="005C5276" w:rsidP="005D7FB5">
            <w:pPr>
              <w:rPr>
                <w:color w:val="000000"/>
                <w:sz w:val="18"/>
                <w:szCs w:val="18"/>
              </w:rPr>
            </w:pPr>
            <w:r w:rsidRPr="000A26B1">
              <w:rPr>
                <w:color w:val="000000"/>
                <w:sz w:val="18"/>
                <w:szCs w:val="18"/>
              </w:rPr>
              <w:t>- PSI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0" w:type="dxa"/>
              <w:right w:w="29" w:type="dxa"/>
            </w:tcMar>
          </w:tcPr>
          <w:p w14:paraId="105C8B40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.21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e, f</w:t>
            </w:r>
          </w:p>
        </w:tc>
        <w:tc>
          <w:tcPr>
            <w:tcW w:w="877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0" w:type="dxa"/>
              <w:right w:w="29" w:type="dxa"/>
            </w:tcMar>
          </w:tcPr>
          <w:p w14:paraId="4956CC6C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.22</w:t>
            </w:r>
          </w:p>
        </w:tc>
        <w:tc>
          <w:tcPr>
            <w:tcW w:w="876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1ED3197" w14:textId="77777777" w:rsidR="005C5276" w:rsidRPr="000A26B1" w:rsidRDefault="005C5276" w:rsidP="005D7FB5">
            <w:pPr>
              <w:tabs>
                <w:tab w:val="decimal" w:pos="151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.22</w:t>
            </w:r>
            <w:r>
              <w:rPr>
                <w:sz w:val="18"/>
                <w:szCs w:val="18"/>
              </w:rPr>
              <w:t xml:space="preserve"> </w:t>
            </w:r>
            <w:r w:rsidRPr="00A95344">
              <w:rPr>
                <w:sz w:val="18"/>
                <w:szCs w:val="18"/>
                <w:vertAlign w:val="superscript"/>
              </w:rPr>
              <w:t>b, c, d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0" w:type="dxa"/>
              <w:right w:w="29" w:type="dxa"/>
            </w:tcMar>
          </w:tcPr>
          <w:p w14:paraId="239425FB" w14:textId="77777777" w:rsidR="005C5276" w:rsidRPr="000A26B1" w:rsidRDefault="005C5276" w:rsidP="005D7FB5">
            <w:pPr>
              <w:tabs>
                <w:tab w:val="right" w:pos="331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.01</w:t>
            </w:r>
            <w:r w:rsidRPr="000A26B1">
              <w:rPr>
                <w:sz w:val="18"/>
                <w:szCs w:val="18"/>
              </w:rPr>
              <w:tab/>
              <w:t>(5%)</w:t>
            </w:r>
          </w:p>
        </w:tc>
        <w:tc>
          <w:tcPr>
            <w:tcW w:w="1135" w:type="dxa"/>
            <w:tcBorders>
              <w:bottom w:val="single" w:sz="12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581C38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1038" w:type="dxa"/>
            <w:tcBorders>
              <w:bottom w:val="single" w:sz="12" w:space="0" w:color="auto"/>
            </w:tcBorders>
            <w:tcMar>
              <w:top w:w="14" w:type="dxa"/>
              <w:left w:w="29" w:type="dxa"/>
              <w:bottom w:w="0" w:type="dxa"/>
              <w:right w:w="29" w:type="dxa"/>
            </w:tcMar>
          </w:tcPr>
          <w:p w14:paraId="5E371ED5" w14:textId="77777777" w:rsidR="005C5276" w:rsidRPr="000A26B1" w:rsidRDefault="005C5276" w:rsidP="005D7FB5">
            <w:pPr>
              <w:tabs>
                <w:tab w:val="right" w:pos="362"/>
                <w:tab w:val="right" w:pos="932"/>
              </w:tabs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ab/>
              <w:t>.01</w:t>
            </w:r>
            <w:r w:rsidRPr="000A26B1">
              <w:rPr>
                <w:sz w:val="18"/>
                <w:szCs w:val="18"/>
              </w:rPr>
              <w:tab/>
              <w:t>(5%)</w:t>
            </w:r>
          </w:p>
        </w:tc>
        <w:tc>
          <w:tcPr>
            <w:tcW w:w="1218" w:type="dxa"/>
            <w:tcBorders>
              <w:bottom w:val="single" w:sz="12" w:space="0" w:color="auto"/>
            </w:tcBorders>
            <w:tcMar>
              <w:top w:w="14" w:type="dxa"/>
              <w:left w:w="115" w:type="dxa"/>
              <w:bottom w:w="0" w:type="dxa"/>
              <w:right w:w="115" w:type="dxa"/>
            </w:tcMar>
          </w:tcPr>
          <w:p w14:paraId="03A6B6D6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</w:t>
            </w:r>
          </w:p>
        </w:tc>
        <w:tc>
          <w:tcPr>
            <w:tcW w:w="2659" w:type="dxa"/>
            <w:tcBorders>
              <w:bottom w:val="single" w:sz="12" w:space="0" w:color="auto"/>
            </w:tcBorders>
            <w:tcMar>
              <w:top w:w="14" w:type="dxa"/>
              <w:left w:w="72" w:type="dxa"/>
              <w:bottom w:w="0" w:type="dxa"/>
              <w:right w:w="0" w:type="dxa"/>
            </w:tcMar>
          </w:tcPr>
          <w:p w14:paraId="2DC0E0F9" w14:textId="77777777" w:rsidR="005C5276" w:rsidRPr="000A26B1" w:rsidRDefault="005C5276" w:rsidP="005D7FB5">
            <w:pPr>
              <w:rPr>
                <w:sz w:val="18"/>
                <w:szCs w:val="18"/>
              </w:rPr>
            </w:pPr>
            <w:r w:rsidRPr="000A26B1">
              <w:rPr>
                <w:sz w:val="18"/>
                <w:szCs w:val="18"/>
              </w:rPr>
              <w:t>Negligible difference</w:t>
            </w:r>
          </w:p>
        </w:tc>
      </w:tr>
    </w:tbl>
    <w:p w14:paraId="68759998" w14:textId="731D0BA1" w:rsidR="00EF639F" w:rsidRPr="000A26B1" w:rsidRDefault="00EF639F" w:rsidP="00DF7851">
      <w:pPr>
        <w:spacing w:line="480" w:lineRule="auto"/>
      </w:pPr>
      <w:r w:rsidRPr="000A26B1">
        <w:rPr>
          <w:i/>
        </w:rPr>
        <w:lastRenderedPageBreak/>
        <w:t xml:space="preserve">Note: </w:t>
      </w:r>
      <w:r w:rsidRPr="000A26B1">
        <w:t>Lowest value = lowest mean estimate from all analyses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0A26B1">
        <w:t xml:space="preserve">; osr,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FE</m:t>
                </m:r>
              </m:sub>
            </m:sSub>
          </m:sub>
        </m:sSub>
      </m:oMath>
      <w:r w:rsidRPr="000A26B1">
        <w:t xml:space="preserve">, t&amp;f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0A26B1">
        <w:t>, sm</w:t>
      </w:r>
      <w:r w:rsidRPr="000A26B1">
        <w:rPr>
          <w:vertAlign w:val="subscript"/>
        </w:rPr>
        <w:t>m</w:t>
      </w:r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0A26B1">
        <w:t>, sm</w:t>
      </w:r>
      <w:r w:rsidRPr="000A26B1">
        <w:rPr>
          <w:vertAlign w:val="subscript"/>
        </w:rPr>
        <w:t>s</w:t>
      </w:r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t>, PET-</w:t>
      </w:r>
      <w:r>
        <w:rPr>
          <w:rFonts w:eastAsiaTheme="minorEastAsia"/>
        </w:rPr>
        <w:t xml:space="preserve">PEESE, and </w:t>
      </w:r>
      <w:r w:rsidRPr="00EF639F">
        <w:rPr>
          <w:rFonts w:eastAsiaTheme="minorEastAsia"/>
          <w:i/>
        </w:rPr>
        <w:t>p</w:t>
      </w:r>
      <w:r>
        <w:rPr>
          <w:rFonts w:eastAsiaTheme="minorEastAsia"/>
        </w:rPr>
        <w:t xml:space="preserve">-uniform);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0A26B1">
        <w:rPr>
          <w:rFonts w:eastAsiaTheme="minorEastAsia"/>
        </w:rPr>
        <w:t xml:space="preserve"> = r</w:t>
      </w:r>
      <w:proofErr w:type="spellStart"/>
      <w:r w:rsidRPr="000A26B1">
        <w:t>andom</w:t>
      </w:r>
      <w:proofErr w:type="spellEnd"/>
      <w:r w:rsidRPr="000A26B1">
        <w:t>-effects weighted mean observed correlation (the potentially best mean estimate); Highest value = highest mean estimate from all analyses (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0A26B1">
        <w:t xml:space="preserve">; osr,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FE</m:t>
                </m:r>
              </m:sub>
            </m:sSub>
          </m:sub>
        </m:sSub>
      </m:oMath>
      <w:r w:rsidRPr="000A26B1">
        <w:t xml:space="preserve">, t&amp;f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0A26B1">
        <w:t>, sm</w:t>
      </w:r>
      <w:r w:rsidRPr="000A26B1">
        <w:rPr>
          <w:vertAlign w:val="subscript"/>
        </w:rPr>
        <w:t>m</w:t>
      </w:r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Pr="000A26B1">
        <w:t>, sm</w:t>
      </w:r>
      <w:r w:rsidRPr="000A26B1">
        <w:rPr>
          <w:vertAlign w:val="subscript"/>
        </w:rPr>
        <w:t>s</w:t>
      </w:r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rPr>
          <w:rFonts w:eastAsiaTheme="minorEastAsia"/>
        </w:rPr>
        <w:t xml:space="preserve">, PET-PEESE, and </w:t>
      </w:r>
      <w:r w:rsidRPr="00EF639F">
        <w:rPr>
          <w:rFonts w:eastAsiaTheme="minorEastAsia"/>
          <w:i/>
        </w:rPr>
        <w:t>p</w:t>
      </w:r>
      <w:r>
        <w:rPr>
          <w:rFonts w:eastAsiaTheme="minorEastAsia"/>
        </w:rPr>
        <w:t>-uniform);</w:t>
      </w:r>
      <w:r w:rsidRPr="000A26B1">
        <w:rPr>
          <w:rFonts w:eastAsiaTheme="minorEastAsia"/>
        </w:rPr>
        <w:t xml:space="preserve"> </w:t>
      </w:r>
      <w:r w:rsidRPr="000A26B1">
        <w:t xml:space="preserve">BRE = Baseline range estimate: the absolute range between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0A26B1">
        <w:rPr>
          <w:rFonts w:eastAsiaTheme="minorEastAsia"/>
        </w:rPr>
        <w:t xml:space="preserve"> </w:t>
      </w:r>
      <w:r w:rsidRPr="000A26B1">
        <w:t xml:space="preserve">and the estimate farthest away (either the lowest or highest value); MRE = Maximum range estimate: the absolute range between the lowest or highest value. When calculating the relative difference of the range estimates, we </w:t>
      </w:r>
      <w:proofErr w:type="gramStart"/>
      <w:r w:rsidRPr="000A26B1">
        <w:t xml:space="preserve">used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0A26B1">
        <w:t>, the potentially be</w:t>
      </w:r>
      <w:proofErr w:type="spellStart"/>
      <w:r w:rsidRPr="000A26B1">
        <w:t>st</w:t>
      </w:r>
      <w:proofErr w:type="spellEnd"/>
      <w:r w:rsidRPr="000A26B1">
        <w:t xml:space="preserve"> mean estimate, as the base (i.e., as 100%). Ideally, BRE and MRE should be identical. If not, outliers or other artifacts may have caused such differences. Practical difference: negligible = if the relative range (BRE or MRE) is smaller than 20%; moderate = if the relative range (BRE or MRE) is larger than 20%; large = if the relative range (BRE or MRE) is larger than 40%</w:t>
      </w:r>
      <w:r w:rsidR="00BE7A12">
        <w:t xml:space="preserve"> (Kepes et al., 2012)</w:t>
      </w:r>
      <w:r>
        <w:t>.</w:t>
      </w:r>
      <w:r w:rsidRPr="000A26B1">
        <w:t xml:space="preserve"> </w:t>
      </w:r>
    </w:p>
    <w:p w14:paraId="02924D71" w14:textId="77777777" w:rsidR="00EF639F" w:rsidRDefault="00EF639F" w:rsidP="00DF7851">
      <w:pPr>
        <w:pStyle w:val="ListParagraph"/>
        <w:spacing w:line="480" w:lineRule="auto"/>
        <w:ind w:left="0"/>
        <w:rPr>
          <w:szCs w:val="24"/>
        </w:rPr>
      </w:pPr>
      <w:proofErr w:type="gramStart"/>
      <w:r w:rsidRPr="000A26B1">
        <w:rPr>
          <w:szCs w:val="24"/>
          <w:vertAlign w:val="superscript"/>
        </w:rPr>
        <w:t xml:space="preserve">a </w:t>
      </w:r>
      <w:r w:rsidRPr="000A26B1">
        <w:rPr>
          <w:szCs w:val="24"/>
        </w:rPr>
        <w:t xml:space="preserve"> Conclusions</w:t>
      </w:r>
      <w:proofErr w:type="gramEnd"/>
      <w:r w:rsidRPr="000A26B1">
        <w:rPr>
          <w:szCs w:val="24"/>
        </w:rPr>
        <w:t xml:space="preserve"> of a negligible difference indicate that the meta-analytic mean estimate (i.e.,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RE</m:t>
                </m:r>
              </m:sub>
            </m:sSub>
          </m:sub>
        </m:sSub>
      </m:oMath>
      <w:r w:rsidRPr="000A26B1">
        <w:rPr>
          <w:szCs w:val="24"/>
        </w:rPr>
        <w:t>) is lik</w:t>
      </w:r>
      <w:proofErr w:type="spellStart"/>
      <w:r w:rsidRPr="000A26B1">
        <w:rPr>
          <w:szCs w:val="24"/>
        </w:rPr>
        <w:t>ely</w:t>
      </w:r>
      <w:proofErr w:type="spellEnd"/>
      <w:r w:rsidRPr="000A26B1">
        <w:rPr>
          <w:szCs w:val="24"/>
        </w:rPr>
        <w:t xml:space="preserve"> to be robust. Conclusions of a moderate, moderate to large, or large difference indicates that the met</w:t>
      </w:r>
      <w:bookmarkStart w:id="0" w:name="_GoBack"/>
      <w:bookmarkEnd w:id="0"/>
      <w:r w:rsidRPr="000A26B1">
        <w:rPr>
          <w:szCs w:val="24"/>
        </w:rPr>
        <w:t xml:space="preserve">a-analytic mean estimate (i.e.,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RE</m:t>
                </m:r>
              </m:sub>
            </m:sSub>
          </m:sub>
        </m:sSub>
      </m:oMath>
      <w:r w:rsidRPr="000A26B1">
        <w:rPr>
          <w:szCs w:val="24"/>
        </w:rPr>
        <w:t xml:space="preserve">) is likely to be non-robust and could be misestimated (i.e., </w:t>
      </w:r>
      <m:oMath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Cs w:val="24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Cs w:val="24"/>
                  </w:rPr>
                  <m:t>o</m:t>
                </m:r>
              </m:e>
              <m:sub>
                <m:r>
                  <w:rPr>
                    <w:rFonts w:ascii="Cambria Math" w:hAnsi="Cambria Math"/>
                    <w:szCs w:val="24"/>
                  </w:rPr>
                  <m:t>RE</m:t>
                </m:r>
              </m:sub>
            </m:sSub>
          </m:sub>
        </m:sSub>
      </m:oMath>
      <w:r w:rsidRPr="000A26B1">
        <w:rPr>
          <w:szCs w:val="24"/>
        </w:rPr>
        <w:t xml:space="preserve"> could be under- or overestimated; typically overestimated in our analyses).</w:t>
      </w:r>
    </w:p>
    <w:p w14:paraId="02A7E909" w14:textId="003941A1" w:rsidR="005C5276" w:rsidRPr="005C5276" w:rsidRDefault="00EF639F" w:rsidP="00DF7851">
      <w:pPr>
        <w:spacing w:line="480" w:lineRule="auto"/>
      </w:pPr>
      <w:r w:rsidRPr="00A95344">
        <w:rPr>
          <w:vertAlign w:val="superscript"/>
        </w:rPr>
        <w:t>b</w:t>
      </w:r>
      <w:r>
        <w:t xml:space="preserve"> = value </w:t>
      </w:r>
      <w:proofErr w:type="gramStart"/>
      <w:r>
        <w:t xml:space="preserve">from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RE</m:t>
                </m:r>
              </m:sub>
            </m:sSub>
          </m:sub>
        </m:sSub>
      </m:oMath>
      <w:r w:rsidRPr="000A26B1">
        <w:t xml:space="preserve">; </w:t>
      </w:r>
      <w:r w:rsidRPr="00A95344">
        <w:rPr>
          <w:vertAlign w:val="superscript"/>
        </w:rPr>
        <w:t>c</w:t>
      </w:r>
      <w:r>
        <w:t xml:space="preserve"> = value from </w:t>
      </w:r>
      <w:proofErr w:type="spellStart"/>
      <w:r w:rsidRPr="000A26B1">
        <w:t>osr</w:t>
      </w:r>
      <w:proofErr w:type="spellEnd"/>
      <w:r w:rsidRPr="000A26B1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o</m:t>
                </m:r>
              </m:e>
              <m:sub>
                <m:r>
                  <w:rPr>
                    <w:rFonts w:ascii="Cambria Math" w:hAnsi="Cambria Math"/>
                  </w:rPr>
                  <m:t>FE</m:t>
                </m:r>
              </m:sub>
            </m:sSub>
          </m:sub>
        </m:sSub>
      </m:oMath>
      <w:r>
        <w:t xml:space="preserve">; </w:t>
      </w:r>
      <w:r w:rsidRPr="00A95344">
        <w:rPr>
          <w:vertAlign w:val="superscript"/>
        </w:rPr>
        <w:t>d</w:t>
      </w:r>
      <w:r>
        <w:t xml:space="preserve"> = value from</w:t>
      </w:r>
      <w:r w:rsidRPr="000A26B1">
        <w:t xml:space="preserve"> </w:t>
      </w:r>
      <w:proofErr w:type="spellStart"/>
      <w:r w:rsidRPr="000A26B1">
        <w:t>t&amp;f</w:t>
      </w:r>
      <w:proofErr w:type="spellEnd"/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t xml:space="preserve">; </w:t>
      </w:r>
      <w:r w:rsidRPr="00A95344">
        <w:rPr>
          <w:vertAlign w:val="superscript"/>
        </w:rPr>
        <w:t>e</w:t>
      </w:r>
      <w:r>
        <w:t xml:space="preserve"> = value from </w:t>
      </w:r>
      <w:proofErr w:type="spellStart"/>
      <w:r w:rsidRPr="000A26B1">
        <w:t>sm</w:t>
      </w:r>
      <w:r w:rsidRPr="000A26B1">
        <w:rPr>
          <w:vertAlign w:val="subscript"/>
        </w:rPr>
        <w:t>m</w:t>
      </w:r>
      <w:proofErr w:type="spellEnd"/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t xml:space="preserve">; </w:t>
      </w:r>
      <w:r w:rsidRPr="00A95344">
        <w:rPr>
          <w:vertAlign w:val="superscript"/>
        </w:rPr>
        <w:t>f</w:t>
      </w:r>
      <w:r>
        <w:t xml:space="preserve"> = value from</w:t>
      </w:r>
      <w:r w:rsidRPr="000A26B1">
        <w:t xml:space="preserve"> </w:t>
      </w:r>
      <w:proofErr w:type="spellStart"/>
      <w:r w:rsidRPr="000A26B1">
        <w:t>sm</w:t>
      </w:r>
      <w:r w:rsidRPr="000A26B1">
        <w:rPr>
          <w:vertAlign w:val="subscript"/>
        </w:rPr>
        <w:t>s</w:t>
      </w:r>
      <w:proofErr w:type="spellEnd"/>
      <w:r w:rsidRPr="000A26B1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>
        <w:t xml:space="preserve">; </w:t>
      </w:r>
      <w:r w:rsidRPr="005D7FB5">
        <w:rPr>
          <w:vertAlign w:val="superscript"/>
        </w:rPr>
        <w:t>g</w:t>
      </w:r>
      <w:r>
        <w:t xml:space="preserve"> = value from PET-PEESE (</w:t>
      </w:r>
      <w:r w:rsidR="00E82B10">
        <w:t>value from PEESE if the PET value was significant, value from PET if it was not significant</w:t>
      </w:r>
      <w:r>
        <w:t xml:space="preserve">); </w:t>
      </w:r>
      <w:r w:rsidRPr="00EF639F">
        <w:rPr>
          <w:vertAlign w:val="superscript"/>
        </w:rPr>
        <w:t>h</w:t>
      </w:r>
      <w:r>
        <w:t xml:space="preserve"> = value from </w:t>
      </w:r>
      <w:r w:rsidRPr="00EF639F">
        <w:rPr>
          <w:i/>
        </w:rPr>
        <w:t>p</w:t>
      </w:r>
      <w:r>
        <w:t>-uniform.</w:t>
      </w:r>
    </w:p>
    <w:sectPr w:rsidR="005C5276" w:rsidRPr="005C5276" w:rsidSect="006B3B0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73B"/>
    <w:rsid w:val="00003218"/>
    <w:rsid w:val="00026D94"/>
    <w:rsid w:val="0007396B"/>
    <w:rsid w:val="00186BDD"/>
    <w:rsid w:val="0019020C"/>
    <w:rsid w:val="001C6DAA"/>
    <w:rsid w:val="001C7EC2"/>
    <w:rsid w:val="001F6563"/>
    <w:rsid w:val="00244FFD"/>
    <w:rsid w:val="00276E10"/>
    <w:rsid w:val="002D7E16"/>
    <w:rsid w:val="002E110F"/>
    <w:rsid w:val="002E73D5"/>
    <w:rsid w:val="0037170E"/>
    <w:rsid w:val="003771A7"/>
    <w:rsid w:val="00386E9E"/>
    <w:rsid w:val="003B0993"/>
    <w:rsid w:val="003C28B7"/>
    <w:rsid w:val="003C3466"/>
    <w:rsid w:val="00453921"/>
    <w:rsid w:val="004809E4"/>
    <w:rsid w:val="004E7F53"/>
    <w:rsid w:val="00563728"/>
    <w:rsid w:val="00590A69"/>
    <w:rsid w:val="00592B7D"/>
    <w:rsid w:val="005B6B53"/>
    <w:rsid w:val="005C5276"/>
    <w:rsid w:val="0061075E"/>
    <w:rsid w:val="00620E04"/>
    <w:rsid w:val="00626508"/>
    <w:rsid w:val="006B3B0A"/>
    <w:rsid w:val="006D3B2D"/>
    <w:rsid w:val="006F45FD"/>
    <w:rsid w:val="00782423"/>
    <w:rsid w:val="007B7054"/>
    <w:rsid w:val="0082502C"/>
    <w:rsid w:val="00831BC9"/>
    <w:rsid w:val="008C4C5B"/>
    <w:rsid w:val="009133EA"/>
    <w:rsid w:val="009456E9"/>
    <w:rsid w:val="0096527C"/>
    <w:rsid w:val="0097269E"/>
    <w:rsid w:val="0097273B"/>
    <w:rsid w:val="009D1544"/>
    <w:rsid w:val="00A328A9"/>
    <w:rsid w:val="00A77ADA"/>
    <w:rsid w:val="00AD65BF"/>
    <w:rsid w:val="00B46A41"/>
    <w:rsid w:val="00BE7A12"/>
    <w:rsid w:val="00D04965"/>
    <w:rsid w:val="00D45FD6"/>
    <w:rsid w:val="00D56211"/>
    <w:rsid w:val="00D60FB1"/>
    <w:rsid w:val="00D74991"/>
    <w:rsid w:val="00D810D0"/>
    <w:rsid w:val="00DD4A7A"/>
    <w:rsid w:val="00DF7851"/>
    <w:rsid w:val="00E62911"/>
    <w:rsid w:val="00E63E55"/>
    <w:rsid w:val="00E82B10"/>
    <w:rsid w:val="00EC6328"/>
    <w:rsid w:val="00EF639F"/>
    <w:rsid w:val="00F2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53482"/>
  <w15:docId w15:val="{D5665065-1AE8-4B26-8892-B725C216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6508"/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6508"/>
    <w:rPr>
      <w:rFonts w:ascii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6B3B0A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32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18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6B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6B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6B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B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77ADA"/>
    <w:pPr>
      <w:ind w:left="720"/>
      <w:contextualSpacing/>
    </w:pPr>
    <w:rPr>
      <w:rFonts w:eastAsia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skepes</dc:creator>
  <cp:keywords/>
  <dc:description/>
  <cp:lastModifiedBy>skepes</cp:lastModifiedBy>
  <cp:revision>6</cp:revision>
  <cp:lastPrinted>2015-07-30T20:05:00Z</cp:lastPrinted>
  <dcterms:created xsi:type="dcterms:W3CDTF">2015-08-23T17:31:00Z</dcterms:created>
  <dcterms:modified xsi:type="dcterms:W3CDTF">2015-09-08T22:18:00Z</dcterms:modified>
</cp:coreProperties>
</file>