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E5D" w:rsidRPr="003A76E9" w:rsidRDefault="00431E5D" w:rsidP="00431E5D">
      <w:pPr>
        <w:spacing w:line="360" w:lineRule="auto"/>
        <w:jc w:val="both"/>
        <w:rPr>
          <w:rFonts w:ascii="Times New Roman" w:hAnsi="Times New Roman" w:cs="Times New Roman"/>
          <w:b/>
          <w:sz w:val="20"/>
          <w:szCs w:val="20"/>
          <w:u w:val="single"/>
          <w:lang w:val="en-GB"/>
        </w:rPr>
      </w:pPr>
      <w:r w:rsidRPr="003A76E9">
        <w:rPr>
          <w:rFonts w:ascii="Times New Roman" w:hAnsi="Times New Roman" w:cs="Times New Roman"/>
          <w:b/>
          <w:sz w:val="20"/>
          <w:szCs w:val="20"/>
          <w:lang w:val="en-GB"/>
        </w:rPr>
        <w:t xml:space="preserve">Title: “Prognosis biomarkers of severe sepsis and septic shock by </w:t>
      </w:r>
      <w:r w:rsidRPr="003A76E9">
        <w:rPr>
          <w:rFonts w:ascii="Times New Roman" w:hAnsi="Times New Roman" w:cs="Times New Roman"/>
          <w:b/>
          <w:sz w:val="20"/>
          <w:szCs w:val="20"/>
          <w:vertAlign w:val="superscript"/>
          <w:lang w:val="en-GB"/>
        </w:rPr>
        <w:t>1</w:t>
      </w:r>
      <w:r w:rsidRPr="003A76E9">
        <w:rPr>
          <w:rFonts w:ascii="Times New Roman" w:hAnsi="Times New Roman" w:cs="Times New Roman"/>
          <w:b/>
          <w:sz w:val="20"/>
          <w:szCs w:val="20"/>
          <w:lang w:val="en-GB"/>
        </w:rPr>
        <w:t>H NMR urine Metabolomics in the ICU”.</w:t>
      </w:r>
    </w:p>
    <w:p w:rsidR="00431E5D" w:rsidRPr="003A76E9" w:rsidRDefault="00431E5D" w:rsidP="00431E5D">
      <w:pPr>
        <w:spacing w:line="360" w:lineRule="auto"/>
        <w:jc w:val="both"/>
        <w:rPr>
          <w:rFonts w:ascii="Times New Roman" w:hAnsi="Times New Roman" w:cs="Times New Roman"/>
          <w:b/>
          <w:sz w:val="20"/>
          <w:szCs w:val="20"/>
          <w:lang w:val="en-GB"/>
        </w:rPr>
      </w:pPr>
    </w:p>
    <w:p w:rsidR="00431E5D" w:rsidRPr="00431E5D" w:rsidRDefault="00431E5D" w:rsidP="00431E5D">
      <w:pPr>
        <w:spacing w:line="360" w:lineRule="auto"/>
        <w:jc w:val="both"/>
        <w:rPr>
          <w:rFonts w:ascii="Times New Roman" w:hAnsi="Times New Roman" w:cs="Times New Roman"/>
          <w:b/>
          <w:sz w:val="20"/>
          <w:szCs w:val="20"/>
        </w:rPr>
      </w:pPr>
      <w:r w:rsidRPr="00431E5D">
        <w:rPr>
          <w:rFonts w:ascii="Times New Roman" w:hAnsi="Times New Roman" w:cs="Times New Roman"/>
          <w:b/>
          <w:sz w:val="20"/>
          <w:szCs w:val="20"/>
        </w:rPr>
        <w:t>Mónica García-Simón, MD</w:t>
      </w:r>
      <w:r w:rsidRPr="00431E5D">
        <w:rPr>
          <w:rFonts w:ascii="Times New Roman" w:hAnsi="Times New Roman" w:cs="Times New Roman"/>
          <w:b/>
          <w:sz w:val="20"/>
          <w:szCs w:val="20"/>
          <w:vertAlign w:val="superscript"/>
        </w:rPr>
        <w:t>1,#</w:t>
      </w:r>
      <w:r w:rsidRPr="00431E5D">
        <w:rPr>
          <w:rFonts w:ascii="Times New Roman" w:hAnsi="Times New Roman" w:cs="Times New Roman"/>
          <w:b/>
          <w:sz w:val="20"/>
          <w:szCs w:val="20"/>
        </w:rPr>
        <w:t>; José M. Morales, PhD</w:t>
      </w:r>
      <w:r w:rsidRPr="00431E5D">
        <w:rPr>
          <w:rFonts w:ascii="Times New Roman" w:hAnsi="Times New Roman" w:cs="Times New Roman"/>
          <w:b/>
          <w:sz w:val="20"/>
          <w:szCs w:val="20"/>
          <w:vertAlign w:val="superscript"/>
        </w:rPr>
        <w:t>2,#</w:t>
      </w:r>
      <w:r w:rsidRPr="00431E5D">
        <w:rPr>
          <w:rFonts w:ascii="Times New Roman" w:hAnsi="Times New Roman" w:cs="Times New Roman"/>
          <w:b/>
          <w:sz w:val="20"/>
          <w:szCs w:val="20"/>
        </w:rPr>
        <w:t>; Vicente Modesto-Alapont, MD, PhD</w:t>
      </w:r>
      <w:r w:rsidRPr="00431E5D">
        <w:rPr>
          <w:rFonts w:ascii="Times New Roman" w:hAnsi="Times New Roman" w:cs="Times New Roman"/>
          <w:b/>
          <w:sz w:val="20"/>
          <w:szCs w:val="20"/>
          <w:vertAlign w:val="superscript"/>
        </w:rPr>
        <w:t>3</w:t>
      </w:r>
      <w:r w:rsidRPr="00431E5D">
        <w:rPr>
          <w:rFonts w:ascii="Times New Roman" w:hAnsi="Times New Roman" w:cs="Times New Roman"/>
          <w:b/>
          <w:sz w:val="20"/>
          <w:szCs w:val="20"/>
        </w:rPr>
        <w:t>; Vannina G. Marrachelli, PhD</w:t>
      </w:r>
      <w:r w:rsidRPr="00431E5D">
        <w:rPr>
          <w:rFonts w:ascii="Times New Roman" w:hAnsi="Times New Roman" w:cs="Times New Roman"/>
          <w:b/>
          <w:sz w:val="20"/>
          <w:szCs w:val="20"/>
          <w:vertAlign w:val="superscript"/>
        </w:rPr>
        <w:t>4</w:t>
      </w:r>
      <w:r w:rsidRPr="00431E5D">
        <w:rPr>
          <w:rFonts w:ascii="Times New Roman" w:hAnsi="Times New Roman" w:cs="Times New Roman"/>
          <w:b/>
          <w:sz w:val="20"/>
          <w:szCs w:val="20"/>
        </w:rPr>
        <w:t>; Rosa Vento Rehues, MD</w:t>
      </w:r>
      <w:r w:rsidRPr="00431E5D">
        <w:rPr>
          <w:rFonts w:ascii="Times New Roman" w:hAnsi="Times New Roman" w:cs="Times New Roman"/>
          <w:b/>
          <w:sz w:val="20"/>
          <w:szCs w:val="20"/>
          <w:vertAlign w:val="superscript"/>
        </w:rPr>
        <w:t>1</w:t>
      </w:r>
      <w:r w:rsidRPr="00431E5D">
        <w:rPr>
          <w:rFonts w:ascii="Times New Roman" w:hAnsi="Times New Roman" w:cs="Times New Roman"/>
          <w:b/>
          <w:sz w:val="20"/>
          <w:szCs w:val="20"/>
        </w:rPr>
        <w:t>; Angela Jordá Miñana, MD</w:t>
      </w:r>
      <w:r w:rsidRPr="00431E5D">
        <w:rPr>
          <w:rFonts w:ascii="Times New Roman" w:hAnsi="Times New Roman" w:cs="Times New Roman"/>
          <w:b/>
          <w:sz w:val="20"/>
          <w:szCs w:val="20"/>
          <w:vertAlign w:val="superscript"/>
        </w:rPr>
        <w:t>1</w:t>
      </w:r>
      <w:r w:rsidRPr="00431E5D">
        <w:rPr>
          <w:rFonts w:ascii="Times New Roman" w:hAnsi="Times New Roman" w:cs="Times New Roman"/>
          <w:b/>
          <w:sz w:val="20"/>
          <w:szCs w:val="20"/>
        </w:rPr>
        <w:t>; José Blanquer-Olivas, MD, PhD</w:t>
      </w:r>
      <w:r w:rsidRPr="00431E5D">
        <w:rPr>
          <w:rFonts w:ascii="Times New Roman" w:hAnsi="Times New Roman" w:cs="Times New Roman"/>
          <w:b/>
          <w:sz w:val="20"/>
          <w:szCs w:val="20"/>
          <w:vertAlign w:val="superscript"/>
        </w:rPr>
        <w:t>1</w:t>
      </w:r>
      <w:r w:rsidRPr="00431E5D">
        <w:rPr>
          <w:rFonts w:ascii="Times New Roman" w:hAnsi="Times New Roman" w:cs="Times New Roman"/>
          <w:b/>
          <w:sz w:val="20"/>
          <w:szCs w:val="20"/>
        </w:rPr>
        <w:t>; Daniel Monleón, PhD</w:t>
      </w:r>
      <w:r w:rsidRPr="00431E5D">
        <w:rPr>
          <w:rFonts w:ascii="Times New Roman" w:hAnsi="Times New Roman" w:cs="Times New Roman"/>
          <w:b/>
          <w:sz w:val="20"/>
          <w:szCs w:val="20"/>
          <w:vertAlign w:val="superscript"/>
        </w:rPr>
        <w:t>4</w:t>
      </w:r>
      <w:r w:rsidRPr="00431E5D">
        <w:rPr>
          <w:rFonts w:ascii="Times New Roman" w:hAnsi="Times New Roman" w:cs="Times New Roman"/>
          <w:b/>
          <w:sz w:val="20"/>
          <w:szCs w:val="20"/>
        </w:rPr>
        <w:t xml:space="preserve">. </w:t>
      </w:r>
    </w:p>
    <w:p w:rsidR="00431E5D" w:rsidRDefault="00431E5D" w:rsidP="00431E5D">
      <w:pPr>
        <w:spacing w:after="0" w:line="360" w:lineRule="auto"/>
        <w:jc w:val="both"/>
        <w:rPr>
          <w:rFonts w:ascii="Times New Roman" w:hAnsi="Times New Roman" w:cs="Times New Roman"/>
          <w:b/>
          <w:sz w:val="20"/>
          <w:szCs w:val="20"/>
          <w:lang w:val="en-GB"/>
        </w:rPr>
      </w:pPr>
      <w:r w:rsidRPr="003A76E9">
        <w:rPr>
          <w:rFonts w:ascii="Times New Roman" w:hAnsi="Times New Roman" w:cs="Times New Roman"/>
          <w:b/>
          <w:sz w:val="20"/>
          <w:szCs w:val="20"/>
          <w:vertAlign w:val="superscript"/>
          <w:lang w:val="en-GB"/>
        </w:rPr>
        <w:t>1</w:t>
      </w:r>
      <w:r w:rsidRPr="003A76E9">
        <w:rPr>
          <w:rFonts w:ascii="Times New Roman" w:hAnsi="Times New Roman" w:cs="Times New Roman"/>
          <w:b/>
          <w:sz w:val="20"/>
          <w:szCs w:val="20"/>
          <w:lang w:val="en-GB"/>
        </w:rPr>
        <w:t>Department of Critical Care, Clinical University Hospital of Valencia, Valencia, Spain.</w:t>
      </w:r>
    </w:p>
    <w:p w:rsidR="00431E5D" w:rsidRPr="003A76E9" w:rsidRDefault="00431E5D" w:rsidP="00431E5D">
      <w:pPr>
        <w:spacing w:after="0" w:line="360" w:lineRule="auto"/>
        <w:jc w:val="both"/>
        <w:rPr>
          <w:rFonts w:ascii="Times New Roman" w:hAnsi="Times New Roman" w:cs="Times New Roman"/>
          <w:b/>
          <w:bCs/>
          <w:sz w:val="20"/>
          <w:szCs w:val="20"/>
          <w:lang w:val="en-GB"/>
        </w:rPr>
      </w:pPr>
      <w:r w:rsidRPr="003A76E9">
        <w:rPr>
          <w:rFonts w:ascii="Times New Roman" w:hAnsi="Times New Roman" w:cs="Times New Roman"/>
          <w:b/>
          <w:sz w:val="20"/>
          <w:szCs w:val="20"/>
          <w:vertAlign w:val="superscript"/>
          <w:lang w:val="en-GB"/>
        </w:rPr>
        <w:t>2</w:t>
      </w:r>
      <w:r w:rsidRPr="003A76E9">
        <w:rPr>
          <w:rFonts w:ascii="Times New Roman" w:hAnsi="Times New Roman" w:cs="Times New Roman"/>
          <w:b/>
          <w:sz w:val="20"/>
          <w:szCs w:val="20"/>
          <w:lang w:val="en-GB"/>
        </w:rPr>
        <w:t>Central Unit of Research in Medicine, University of Valencia, Valencia, Spain.</w:t>
      </w:r>
    </w:p>
    <w:p w:rsidR="00431E5D" w:rsidRPr="003A76E9" w:rsidRDefault="00431E5D" w:rsidP="00431E5D">
      <w:pPr>
        <w:spacing w:after="0" w:line="360" w:lineRule="auto"/>
        <w:jc w:val="both"/>
        <w:rPr>
          <w:rFonts w:ascii="Times New Roman" w:hAnsi="Times New Roman" w:cs="Times New Roman"/>
          <w:b/>
          <w:sz w:val="20"/>
          <w:szCs w:val="20"/>
          <w:lang w:val="en-GB"/>
        </w:rPr>
      </w:pPr>
      <w:r w:rsidRPr="003A76E9">
        <w:rPr>
          <w:rFonts w:ascii="Times New Roman" w:hAnsi="Times New Roman" w:cs="Times New Roman"/>
          <w:b/>
          <w:sz w:val="20"/>
          <w:szCs w:val="20"/>
          <w:vertAlign w:val="superscript"/>
          <w:lang w:val="en-GB"/>
        </w:rPr>
        <w:t>3</w:t>
      </w:r>
      <w:r w:rsidRPr="003A76E9">
        <w:rPr>
          <w:rFonts w:ascii="Times New Roman" w:hAnsi="Times New Roman" w:cs="Times New Roman"/>
          <w:b/>
          <w:sz w:val="20"/>
          <w:szCs w:val="20"/>
          <w:lang w:val="en-GB"/>
        </w:rPr>
        <w:t>Department of Paediatric Critical Care, University and Polytechnic Hospital La Fe, Valencia, Spain.</w:t>
      </w:r>
    </w:p>
    <w:p w:rsidR="00431E5D" w:rsidRPr="003A76E9" w:rsidRDefault="00431E5D" w:rsidP="00431E5D">
      <w:pPr>
        <w:spacing w:after="0" w:line="360" w:lineRule="auto"/>
        <w:jc w:val="both"/>
        <w:rPr>
          <w:rFonts w:ascii="Times New Roman" w:hAnsi="Times New Roman" w:cs="Times New Roman"/>
          <w:b/>
          <w:bCs/>
          <w:sz w:val="20"/>
          <w:szCs w:val="20"/>
          <w:lang w:val="en-GB"/>
        </w:rPr>
      </w:pPr>
      <w:r w:rsidRPr="003A76E9">
        <w:rPr>
          <w:rFonts w:ascii="Times New Roman" w:hAnsi="Times New Roman" w:cs="Times New Roman"/>
          <w:b/>
          <w:sz w:val="20"/>
          <w:szCs w:val="20"/>
          <w:vertAlign w:val="superscript"/>
          <w:lang w:val="en-GB"/>
        </w:rPr>
        <w:t>4</w:t>
      </w:r>
      <w:r w:rsidRPr="003A76E9">
        <w:rPr>
          <w:rFonts w:ascii="Times New Roman" w:hAnsi="Times New Roman" w:cs="Times New Roman"/>
          <w:b/>
          <w:sz w:val="20"/>
          <w:szCs w:val="20"/>
          <w:lang w:val="en-GB"/>
        </w:rPr>
        <w:t>Clinical Hospital Research Foundation-INCLIVA, Valencia, Spain.</w:t>
      </w:r>
    </w:p>
    <w:p w:rsidR="00431E5D" w:rsidRPr="003A76E9" w:rsidRDefault="00431E5D" w:rsidP="00431E5D">
      <w:pPr>
        <w:spacing w:after="0" w:line="360" w:lineRule="auto"/>
        <w:jc w:val="both"/>
        <w:rPr>
          <w:rFonts w:ascii="Times New Roman" w:hAnsi="Times New Roman" w:cs="Times New Roman"/>
          <w:b/>
          <w:sz w:val="20"/>
          <w:szCs w:val="20"/>
          <w:lang w:val="en-GB"/>
        </w:rPr>
      </w:pPr>
      <w:r w:rsidRPr="003A76E9">
        <w:rPr>
          <w:rFonts w:ascii="Times New Roman" w:hAnsi="Times New Roman" w:cs="Times New Roman"/>
          <w:b/>
          <w:sz w:val="20"/>
          <w:szCs w:val="20"/>
          <w:lang w:val="en-GB"/>
        </w:rPr>
        <w:t># These authors contributed equally to this work.</w:t>
      </w:r>
    </w:p>
    <w:p w:rsidR="00CE46D0" w:rsidRPr="00431E5D" w:rsidRDefault="00CE46D0" w:rsidP="00C47907">
      <w:pPr>
        <w:jc w:val="both"/>
        <w:rPr>
          <w:rFonts w:ascii="Times New Roman" w:eastAsia="Cambria" w:hAnsi="Times New Roman" w:cs="Times New Roman"/>
          <w:color w:val="141314"/>
          <w:sz w:val="24"/>
          <w:szCs w:val="24"/>
          <w:lang w:val="en-GB" w:eastAsia="ar-SA"/>
        </w:rPr>
      </w:pPr>
    </w:p>
    <w:p w:rsidR="00CE46D0" w:rsidRPr="00CF57B2" w:rsidRDefault="00CE46D0" w:rsidP="00C47907">
      <w:pPr>
        <w:jc w:val="both"/>
        <w:rPr>
          <w:rFonts w:ascii="Times New Roman" w:eastAsia="Cambria" w:hAnsi="Times New Roman" w:cs="Times New Roman"/>
          <w:b/>
          <w:color w:val="141314"/>
          <w:sz w:val="20"/>
          <w:szCs w:val="20"/>
          <w:lang w:val="en-GB" w:eastAsia="ar-SA"/>
        </w:rPr>
      </w:pPr>
      <w:r w:rsidRPr="00CF57B2">
        <w:rPr>
          <w:rFonts w:ascii="Times New Roman" w:eastAsia="Cambria" w:hAnsi="Times New Roman" w:cs="Times New Roman"/>
          <w:b/>
          <w:color w:val="141314"/>
          <w:sz w:val="20"/>
          <w:szCs w:val="20"/>
          <w:lang w:val="en-GB" w:eastAsia="ar-SA"/>
        </w:rPr>
        <w:t>METHODS</w:t>
      </w:r>
    </w:p>
    <w:p w:rsidR="00C47907" w:rsidRPr="00CF57B2" w:rsidRDefault="00C47907" w:rsidP="00C47907">
      <w:pPr>
        <w:pStyle w:val="HTMLconformatoprevio"/>
        <w:spacing w:line="480" w:lineRule="auto"/>
        <w:jc w:val="both"/>
        <w:rPr>
          <w:rFonts w:ascii="Times New Roman" w:hAnsi="Times New Roman" w:cs="Times New Roman"/>
          <w:b/>
          <w:lang w:val="en-GB"/>
        </w:rPr>
      </w:pPr>
      <w:r w:rsidRPr="00CF57B2">
        <w:rPr>
          <w:rFonts w:ascii="Times New Roman" w:hAnsi="Times New Roman" w:cs="Times New Roman"/>
          <w:b/>
          <w:lang w:val="en-GB"/>
        </w:rPr>
        <w:t>Sample collection</w:t>
      </w:r>
    </w:p>
    <w:p w:rsidR="00C47907" w:rsidRPr="00CF57B2" w:rsidRDefault="00C47907" w:rsidP="00C47907">
      <w:pPr>
        <w:pStyle w:val="HTMLconformatoprevio"/>
        <w:spacing w:line="480" w:lineRule="auto"/>
        <w:jc w:val="both"/>
        <w:rPr>
          <w:rFonts w:ascii="Times New Roman" w:hAnsi="Times New Roman" w:cs="Times New Roman"/>
          <w:lang w:val="en-GB"/>
        </w:rPr>
      </w:pPr>
      <w:r w:rsidRPr="00CF57B2">
        <w:rPr>
          <w:rFonts w:ascii="Times New Roman" w:hAnsi="Times New Roman" w:cs="Times New Roman"/>
          <w:lang w:val="en-GB"/>
        </w:rPr>
        <w:t xml:space="preserve">As part of the daily clinical routine, for each patient were measured and recorded the values of </w:t>
      </w:r>
      <w:r w:rsidR="00C25B0F" w:rsidRPr="00CF57B2">
        <w:rPr>
          <w:rFonts w:ascii="Times New Roman" w:hAnsi="Times New Roman" w:cs="Times New Roman"/>
          <w:lang w:val="en-GB"/>
        </w:rPr>
        <w:t>haemoglobin</w:t>
      </w:r>
      <w:r w:rsidRPr="00CF57B2">
        <w:rPr>
          <w:rFonts w:ascii="Times New Roman" w:hAnsi="Times New Roman" w:cs="Times New Roman"/>
          <w:lang w:val="en-GB"/>
        </w:rPr>
        <w:t xml:space="preserve"> (g/dl), leukocytes (x10</w:t>
      </w:r>
      <w:r w:rsidRPr="00CF57B2">
        <w:rPr>
          <w:rFonts w:ascii="Times New Roman" w:hAnsi="Times New Roman" w:cs="Times New Roman"/>
          <w:vertAlign w:val="superscript"/>
          <w:lang w:val="en-GB"/>
        </w:rPr>
        <w:t>9</w:t>
      </w:r>
      <w:r w:rsidRPr="00CF57B2">
        <w:rPr>
          <w:rFonts w:ascii="Times New Roman" w:hAnsi="Times New Roman" w:cs="Times New Roman"/>
          <w:lang w:val="en-GB"/>
        </w:rPr>
        <w:t>/l), platelets (x10</w:t>
      </w:r>
      <w:r w:rsidRPr="00CF57B2">
        <w:rPr>
          <w:rFonts w:ascii="Times New Roman" w:hAnsi="Times New Roman" w:cs="Times New Roman"/>
          <w:vertAlign w:val="superscript"/>
          <w:lang w:val="en-GB"/>
        </w:rPr>
        <w:t>9</w:t>
      </w:r>
      <w:r w:rsidRPr="00CF57B2">
        <w:rPr>
          <w:rFonts w:ascii="Times New Roman" w:hAnsi="Times New Roman" w:cs="Times New Roman"/>
          <w:lang w:val="en-GB"/>
        </w:rPr>
        <w:t xml:space="preserve">/l), glucose (mg/dl), creatinine (mg/dl), urea (mg/dl), </w:t>
      </w:r>
      <w:r w:rsidR="00C25B0F" w:rsidRPr="00CF57B2">
        <w:rPr>
          <w:rFonts w:ascii="Times New Roman" w:hAnsi="Times New Roman" w:cs="Times New Roman"/>
          <w:lang w:val="en-GB"/>
        </w:rPr>
        <w:t>bilirubin</w:t>
      </w:r>
      <w:r w:rsidRPr="00CF57B2">
        <w:rPr>
          <w:rFonts w:ascii="Times New Roman" w:hAnsi="Times New Roman" w:cs="Times New Roman"/>
          <w:lang w:val="en-GB"/>
        </w:rPr>
        <w:t xml:space="preserve"> (mg/dl), C-reactive protein (CRP) (mg/l), procalcitonin (PCT) (ng/ml) and lactate (mmol/l).</w:t>
      </w:r>
      <w:r w:rsidR="00363571" w:rsidRPr="00CF57B2">
        <w:rPr>
          <w:rFonts w:ascii="Times New Roman" w:hAnsi="Times New Roman" w:cs="Times New Roman"/>
          <w:lang w:val="en-GB"/>
        </w:rPr>
        <w:t xml:space="preserve"> </w:t>
      </w:r>
      <w:r w:rsidRPr="00CF57B2">
        <w:rPr>
          <w:rFonts w:ascii="Times New Roman" w:hAnsi="Times New Roman" w:cs="Times New Roman"/>
          <w:lang w:val="en-GB"/>
        </w:rPr>
        <w:t xml:space="preserve">The study included the assessment of demographic information, admission diagnosis (severe sepsis/septic shock), origin of sepsis, days of ICU stay, Acute Physiology and Chronic Health Evaluation (APACHE II) score (1) at admission, </w:t>
      </w:r>
      <w:r w:rsidR="006C12BF">
        <w:rPr>
          <w:rFonts w:ascii="Times New Roman" w:hAnsi="Times New Roman" w:cs="Times New Roman"/>
          <w:lang w:val="en-GB"/>
        </w:rPr>
        <w:t>bacter</w:t>
      </w:r>
      <w:r w:rsidR="00C25B0F" w:rsidRPr="00CF57B2">
        <w:rPr>
          <w:rFonts w:ascii="Times New Roman" w:hAnsi="Times New Roman" w:cs="Times New Roman"/>
          <w:lang w:val="en-GB"/>
        </w:rPr>
        <w:t>emia</w:t>
      </w:r>
      <w:r w:rsidRPr="00CF57B2">
        <w:rPr>
          <w:rFonts w:ascii="Times New Roman" w:hAnsi="Times New Roman" w:cs="Times New Roman"/>
          <w:lang w:val="en-GB"/>
        </w:rPr>
        <w:t xml:space="preserve"> in the blood culture and mechanical ventilation. This information was managed using an Excel database (Microsoft Excel 2008), SPSS version 20 (IBM Statistical Packaged for social sciences software, MAC) and Epidat 3.1 (Epidemiological Dates Analysis, Galicia, Spain).</w:t>
      </w:r>
    </w:p>
    <w:p w:rsidR="00CF57B2" w:rsidRPr="00CF57B2" w:rsidRDefault="00CF57B2" w:rsidP="00C47907">
      <w:pPr>
        <w:pStyle w:val="HTMLconformatoprevio"/>
        <w:spacing w:line="480" w:lineRule="auto"/>
        <w:jc w:val="both"/>
        <w:rPr>
          <w:rFonts w:ascii="Times New Roman" w:hAnsi="Times New Roman" w:cs="Times New Roman"/>
          <w:lang w:val="en-GB"/>
        </w:rPr>
      </w:pPr>
    </w:p>
    <w:p w:rsidR="00C47907" w:rsidRPr="00CF57B2" w:rsidRDefault="00C47907" w:rsidP="00C47907">
      <w:pPr>
        <w:pStyle w:val="Textoindependiente"/>
        <w:spacing w:after="0" w:line="480" w:lineRule="auto"/>
        <w:jc w:val="both"/>
        <w:rPr>
          <w:rFonts w:ascii="Times New Roman" w:hAnsi="Times New Roman" w:cs="Times New Roman"/>
          <w:b/>
          <w:lang w:val="en-GB"/>
        </w:rPr>
      </w:pPr>
      <w:r w:rsidRPr="00CF57B2">
        <w:rPr>
          <w:rFonts w:ascii="Times New Roman" w:hAnsi="Times New Roman" w:cs="Times New Roman"/>
          <w:b/>
          <w:vertAlign w:val="superscript"/>
          <w:lang w:val="en-GB"/>
        </w:rPr>
        <w:t>1</w:t>
      </w:r>
      <w:r w:rsidRPr="00CF57B2">
        <w:rPr>
          <w:rFonts w:ascii="Times New Roman" w:hAnsi="Times New Roman" w:cs="Times New Roman"/>
          <w:b/>
          <w:lang w:val="en-GB"/>
        </w:rPr>
        <w:t xml:space="preserve">H NMR Spectroscopy and metabolite concentration profiling </w:t>
      </w:r>
    </w:p>
    <w:p w:rsidR="00C47907" w:rsidRPr="00CF57B2" w:rsidRDefault="00C47907" w:rsidP="00C47907">
      <w:pPr>
        <w:pStyle w:val="Default"/>
        <w:spacing w:line="480" w:lineRule="auto"/>
        <w:jc w:val="both"/>
        <w:rPr>
          <w:color w:val="auto"/>
          <w:sz w:val="20"/>
          <w:szCs w:val="20"/>
          <w:lang w:val="en-GB"/>
        </w:rPr>
      </w:pPr>
      <w:r w:rsidRPr="00CF57B2">
        <w:rPr>
          <w:color w:val="auto"/>
          <w:sz w:val="20"/>
          <w:szCs w:val="20"/>
          <w:lang w:val="en-GB"/>
        </w:rPr>
        <w:t>The total preparation time for each sample before NMR spectroscopy was less than 15 min. Preparation consisted of the addition of 40µl of a phosphate buffer solution (0.06M Na</w:t>
      </w:r>
      <w:r w:rsidRPr="00CF57B2">
        <w:rPr>
          <w:color w:val="auto"/>
          <w:sz w:val="20"/>
          <w:szCs w:val="20"/>
          <w:vertAlign w:val="subscript"/>
          <w:lang w:val="en-GB"/>
        </w:rPr>
        <w:t>2</w:t>
      </w:r>
      <w:r w:rsidRPr="00CF57B2">
        <w:rPr>
          <w:color w:val="auto"/>
          <w:sz w:val="20"/>
          <w:szCs w:val="20"/>
          <w:lang w:val="en-GB"/>
        </w:rPr>
        <w:t>HPO</w:t>
      </w:r>
      <w:r w:rsidRPr="00CF57B2">
        <w:rPr>
          <w:color w:val="auto"/>
          <w:sz w:val="20"/>
          <w:szCs w:val="20"/>
          <w:vertAlign w:val="subscript"/>
          <w:lang w:val="en-GB"/>
        </w:rPr>
        <w:t>4</w:t>
      </w:r>
      <w:r w:rsidRPr="00CF57B2">
        <w:rPr>
          <w:color w:val="auto"/>
          <w:sz w:val="20"/>
          <w:szCs w:val="20"/>
          <w:lang w:val="en-GB"/>
        </w:rPr>
        <w:t>/ 0.04M NaH</w:t>
      </w:r>
      <w:r w:rsidRPr="00CF57B2">
        <w:rPr>
          <w:color w:val="auto"/>
          <w:sz w:val="20"/>
          <w:szCs w:val="20"/>
          <w:vertAlign w:val="subscript"/>
          <w:lang w:val="en-GB"/>
        </w:rPr>
        <w:t>2</w:t>
      </w:r>
      <w:r w:rsidRPr="00CF57B2">
        <w:rPr>
          <w:color w:val="auto"/>
          <w:sz w:val="20"/>
          <w:szCs w:val="20"/>
          <w:lang w:val="en-GB"/>
        </w:rPr>
        <w:t>PO</w:t>
      </w:r>
      <w:r w:rsidRPr="00CF57B2">
        <w:rPr>
          <w:color w:val="auto"/>
          <w:sz w:val="20"/>
          <w:szCs w:val="20"/>
          <w:vertAlign w:val="subscript"/>
          <w:lang w:val="en-GB"/>
        </w:rPr>
        <w:t>4</w:t>
      </w:r>
      <w:r w:rsidRPr="00CF57B2">
        <w:rPr>
          <w:color w:val="auto"/>
          <w:sz w:val="20"/>
          <w:szCs w:val="20"/>
          <w:lang w:val="en-GB"/>
        </w:rPr>
        <w:t>, pH 7) and 40µl of sodium-3´-trimethylsilylpropionate-2,2,3,3-d</w:t>
      </w:r>
      <w:r w:rsidRPr="00CF57B2">
        <w:rPr>
          <w:color w:val="auto"/>
          <w:sz w:val="20"/>
          <w:szCs w:val="20"/>
          <w:vertAlign w:val="subscript"/>
          <w:lang w:val="en-GB"/>
        </w:rPr>
        <w:t>4</w:t>
      </w:r>
      <w:r w:rsidRPr="00CF57B2">
        <w:rPr>
          <w:color w:val="auto"/>
          <w:sz w:val="20"/>
          <w:szCs w:val="20"/>
          <w:lang w:val="en-GB"/>
        </w:rPr>
        <w:t xml:space="preserve"> (TSP, 0.5 mM) in deuterium oxide (D</w:t>
      </w:r>
      <w:r w:rsidRPr="00CF57B2">
        <w:rPr>
          <w:color w:val="auto"/>
          <w:sz w:val="20"/>
          <w:szCs w:val="20"/>
          <w:vertAlign w:val="subscript"/>
          <w:lang w:val="en-GB"/>
        </w:rPr>
        <w:t>2</w:t>
      </w:r>
      <w:r w:rsidRPr="00CF57B2">
        <w:rPr>
          <w:color w:val="auto"/>
          <w:sz w:val="20"/>
          <w:szCs w:val="20"/>
          <w:lang w:val="en-GB"/>
        </w:rPr>
        <w:t>O) to 420µl of urine</w:t>
      </w:r>
      <w:r w:rsidR="00363571" w:rsidRPr="00CF57B2">
        <w:rPr>
          <w:color w:val="auto"/>
          <w:sz w:val="20"/>
          <w:szCs w:val="20"/>
          <w:lang w:val="en-GB"/>
        </w:rPr>
        <w:t xml:space="preserve">. </w:t>
      </w:r>
      <w:r w:rsidR="00363571" w:rsidRPr="00CF57B2">
        <w:rPr>
          <w:sz w:val="20"/>
          <w:szCs w:val="20"/>
          <w:lang w:val="en-US"/>
        </w:rPr>
        <w:t xml:space="preserve">Sample placed in </w:t>
      </w:r>
      <w:r w:rsidR="00363571" w:rsidRPr="00CF57B2">
        <w:rPr>
          <w:color w:val="auto"/>
          <w:sz w:val="20"/>
          <w:szCs w:val="20"/>
          <w:lang w:val="en-GB"/>
        </w:rPr>
        <w:t>a 5mm high-resolution NMR tube</w:t>
      </w:r>
      <w:r w:rsidRPr="00CF57B2">
        <w:rPr>
          <w:color w:val="auto"/>
          <w:sz w:val="20"/>
          <w:szCs w:val="20"/>
          <w:lang w:val="en-GB"/>
        </w:rPr>
        <w:t xml:space="preserve">. </w:t>
      </w:r>
      <w:r w:rsidRPr="00CF57B2">
        <w:rPr>
          <w:bCs/>
          <w:color w:val="auto"/>
          <w:sz w:val="20"/>
          <w:szCs w:val="20"/>
          <w:lang w:val="en-GB"/>
        </w:rPr>
        <w:t>All spectra were recorded in a Bruker Avance DRX 600 spectrometer (</w:t>
      </w:r>
      <w:r w:rsidRPr="00CF57B2">
        <w:rPr>
          <w:color w:val="auto"/>
          <w:sz w:val="20"/>
          <w:szCs w:val="20"/>
          <w:lang w:val="en-GB"/>
        </w:rPr>
        <w:t xml:space="preserve">Bruker GmbH, Rheinstetten, Germany). Nominal temperature of the </w:t>
      </w:r>
      <w:r w:rsidRPr="00CF57B2">
        <w:rPr>
          <w:color w:val="auto"/>
          <w:sz w:val="20"/>
          <w:szCs w:val="20"/>
          <w:lang w:val="en-GB"/>
        </w:rPr>
        <w:lastRenderedPageBreak/>
        <w:t xml:space="preserve">sample was kept at 310K. Lock homogeneity was achieved by extensive manual coil-shimming using one-dimensional (1D) water pre-saturation experiments in interactive mode. Visual lineshape inspection of the alanine doublet signal at 1.475 ppm was used for lock homogeneity shimming. </w:t>
      </w:r>
    </w:p>
    <w:p w:rsidR="0045745C" w:rsidRPr="00CF57B2" w:rsidRDefault="00C47907" w:rsidP="00C47907">
      <w:pPr>
        <w:autoSpaceDE w:val="0"/>
        <w:autoSpaceDN w:val="0"/>
        <w:adjustRightInd w:val="0"/>
        <w:spacing w:line="480" w:lineRule="auto"/>
        <w:jc w:val="both"/>
        <w:rPr>
          <w:rFonts w:ascii="Times New Roman" w:eastAsia="Times New Roman" w:hAnsi="Times New Roman" w:cs="Times New Roman"/>
          <w:sz w:val="20"/>
          <w:szCs w:val="20"/>
          <w:lang w:val="en-GB" w:eastAsia="es-ES"/>
        </w:rPr>
      </w:pPr>
      <w:r w:rsidRPr="00CF57B2">
        <w:rPr>
          <w:rFonts w:ascii="Times New Roman" w:eastAsia="Times New Roman" w:hAnsi="Times New Roman" w:cs="Times New Roman"/>
          <w:sz w:val="20"/>
          <w:szCs w:val="20"/>
          <w:lang w:val="en-GB" w:eastAsia="es-ES"/>
        </w:rPr>
        <w:t xml:space="preserve">A single-pulse pre-saturation experiment was acquired in all samples. To avoid effects on signal intensity different from metabolite amount, unfiltered single-pulse experiments were preferred over filtered pulse sequences, such as Carr–Purcell–Meiboom–Gill or nuclear </w:t>
      </w:r>
      <w:r w:rsidR="00363571" w:rsidRPr="00CF57B2">
        <w:rPr>
          <w:rFonts w:ascii="Times New Roman" w:eastAsia="Times New Roman" w:hAnsi="Times New Roman" w:cs="Times New Roman"/>
          <w:sz w:val="20"/>
          <w:szCs w:val="20"/>
          <w:lang w:val="en-GB" w:eastAsia="es-ES"/>
        </w:rPr>
        <w:t>O</w:t>
      </w:r>
      <w:r w:rsidRPr="00CF57B2">
        <w:rPr>
          <w:rFonts w:ascii="Times New Roman" w:eastAsia="Times New Roman" w:hAnsi="Times New Roman" w:cs="Times New Roman"/>
          <w:sz w:val="20"/>
          <w:szCs w:val="20"/>
          <w:lang w:val="en-GB" w:eastAsia="es-ES"/>
        </w:rPr>
        <w:t>verhauser effect spectroscopy. A total of 64 transients w</w:t>
      </w:r>
      <w:r w:rsidR="00C25B0F" w:rsidRPr="00CF57B2">
        <w:rPr>
          <w:rFonts w:ascii="Times New Roman" w:eastAsia="Times New Roman" w:hAnsi="Times New Roman" w:cs="Times New Roman"/>
          <w:sz w:val="20"/>
          <w:szCs w:val="20"/>
          <w:lang w:val="en-GB" w:eastAsia="es-ES"/>
        </w:rPr>
        <w:t>ere</w:t>
      </w:r>
      <w:r w:rsidRPr="00CF57B2">
        <w:rPr>
          <w:rFonts w:ascii="Times New Roman" w:eastAsia="Times New Roman" w:hAnsi="Times New Roman" w:cs="Times New Roman"/>
          <w:sz w:val="20"/>
          <w:szCs w:val="20"/>
          <w:lang w:val="en-GB" w:eastAsia="es-ES"/>
        </w:rPr>
        <w:t xml:space="preserve"> collected into 64k data points for all the experiments. Water pre-saturation for 1 s along the recycling delay was used for solvent signal suppression. The spectral width for all spectra was 14 ppm. Before Fourier transformation, the free induction decay was multiplied by a 0.3 Hz exponential line broadening. </w:t>
      </w:r>
    </w:p>
    <w:p w:rsidR="00C47907" w:rsidRPr="00CF57B2" w:rsidRDefault="00C47907" w:rsidP="00C47907">
      <w:pPr>
        <w:autoSpaceDE w:val="0"/>
        <w:autoSpaceDN w:val="0"/>
        <w:adjustRightInd w:val="0"/>
        <w:spacing w:line="480" w:lineRule="auto"/>
        <w:jc w:val="both"/>
        <w:rPr>
          <w:rFonts w:ascii="Times New Roman" w:hAnsi="Times New Roman" w:cs="Times New Roman"/>
          <w:sz w:val="20"/>
          <w:szCs w:val="20"/>
          <w:lang w:val="en-GB"/>
        </w:rPr>
      </w:pPr>
      <w:r w:rsidRPr="00CF57B2">
        <w:rPr>
          <w:rFonts w:ascii="Times New Roman" w:hAnsi="Times New Roman" w:cs="Times New Roman"/>
          <w:sz w:val="20"/>
          <w:szCs w:val="20"/>
          <w:lang w:val="en-GB"/>
        </w:rPr>
        <w:t xml:space="preserve">All spectra were phased, baseline corrected carefully and chemical shifts were adjusted with reference to TSP signal </w:t>
      </w:r>
      <w:r w:rsidR="0045745C" w:rsidRPr="00CF57B2">
        <w:rPr>
          <w:rFonts w:ascii="Times New Roman" w:eastAsia="Times New Roman" w:hAnsi="Times New Roman" w:cs="Times New Roman"/>
          <w:sz w:val="20"/>
          <w:szCs w:val="20"/>
          <w:lang w:val="en-GB" w:eastAsia="es-ES"/>
        </w:rPr>
        <w:t xml:space="preserve">at 0 ppm </w:t>
      </w:r>
      <w:r w:rsidRPr="00CF57B2">
        <w:rPr>
          <w:rFonts w:ascii="Times New Roman" w:hAnsi="Times New Roman" w:cs="Times New Roman"/>
          <w:sz w:val="20"/>
          <w:szCs w:val="20"/>
          <w:lang w:val="en-GB"/>
        </w:rPr>
        <w:t>using MestRe</w:t>
      </w:r>
      <w:r w:rsidR="00226B26">
        <w:rPr>
          <w:rFonts w:ascii="Times New Roman" w:hAnsi="Times New Roman" w:cs="Times New Roman"/>
          <w:sz w:val="20"/>
          <w:szCs w:val="20"/>
          <w:lang w:val="en-GB"/>
        </w:rPr>
        <w:t>N</w:t>
      </w:r>
      <w:r w:rsidRPr="00CF57B2">
        <w:rPr>
          <w:rFonts w:ascii="Times New Roman" w:hAnsi="Times New Roman" w:cs="Times New Roman"/>
          <w:sz w:val="20"/>
          <w:szCs w:val="20"/>
          <w:lang w:val="en-GB"/>
        </w:rPr>
        <w:t>ova 6.2 software (Mestrelab Research S.L., Santiago de Compostela, Spain)</w:t>
      </w:r>
      <w:r w:rsidRPr="00CF57B2">
        <w:rPr>
          <w:rFonts w:ascii="Times New Roman" w:eastAsia="Times New Roman" w:hAnsi="Times New Roman" w:cs="Times New Roman"/>
          <w:sz w:val="20"/>
          <w:szCs w:val="20"/>
          <w:lang w:val="en-GB" w:eastAsia="es-ES"/>
        </w:rPr>
        <w:t xml:space="preserve">. The spectra were binned into 0.005 </w:t>
      </w:r>
      <w:r w:rsidR="00CF57B2" w:rsidRPr="00CF57B2">
        <w:rPr>
          <w:rFonts w:ascii="Times New Roman" w:eastAsia="Times New Roman" w:hAnsi="Times New Roman" w:cs="Times New Roman"/>
          <w:sz w:val="20"/>
          <w:szCs w:val="20"/>
          <w:lang w:val="en-GB" w:eastAsia="es-ES"/>
        </w:rPr>
        <w:t>p</w:t>
      </w:r>
      <w:r w:rsidRPr="00CF57B2">
        <w:rPr>
          <w:rFonts w:ascii="Times New Roman" w:eastAsia="Times New Roman" w:hAnsi="Times New Roman" w:cs="Times New Roman"/>
          <w:sz w:val="20"/>
          <w:szCs w:val="20"/>
          <w:lang w:val="en-GB" w:eastAsia="es-ES"/>
        </w:rPr>
        <w:t xml:space="preserve">pm buckets </w:t>
      </w:r>
      <w:r w:rsidRPr="00CF57B2">
        <w:rPr>
          <w:rFonts w:ascii="Times New Roman" w:hAnsi="Times New Roman" w:cs="Times New Roman"/>
          <w:sz w:val="20"/>
          <w:szCs w:val="20"/>
          <w:lang w:val="en-GB"/>
        </w:rPr>
        <w:t>between 0.5-10 ppm</w:t>
      </w:r>
      <w:r w:rsidRPr="00CF57B2">
        <w:rPr>
          <w:rFonts w:ascii="Times New Roman" w:eastAsia="Times New Roman" w:hAnsi="Times New Roman" w:cs="Times New Roman"/>
          <w:sz w:val="20"/>
          <w:szCs w:val="20"/>
          <w:lang w:val="en-GB" w:eastAsia="es-ES"/>
        </w:rPr>
        <w:t xml:space="preserve"> and mean </w:t>
      </w:r>
      <w:r w:rsidR="0045745C" w:rsidRPr="00CF57B2">
        <w:rPr>
          <w:rFonts w:ascii="Times New Roman" w:eastAsia="Times New Roman" w:hAnsi="Times New Roman" w:cs="Times New Roman"/>
          <w:sz w:val="20"/>
          <w:szCs w:val="20"/>
          <w:lang w:val="en-GB" w:eastAsia="es-ES"/>
        </w:rPr>
        <w:t>centred</w:t>
      </w:r>
      <w:r w:rsidRPr="00CF57B2">
        <w:rPr>
          <w:rFonts w:ascii="Times New Roman" w:eastAsia="Times New Roman" w:hAnsi="Times New Roman" w:cs="Times New Roman"/>
          <w:sz w:val="20"/>
          <w:szCs w:val="20"/>
          <w:lang w:val="en-GB" w:eastAsia="es-ES"/>
        </w:rPr>
        <w:t xml:space="preserve"> for multivariate analysis and normalized to total aliphatic spectral area </w:t>
      </w:r>
      <w:r w:rsidRPr="00CF57B2">
        <w:rPr>
          <w:rFonts w:ascii="Times New Roman" w:hAnsi="Times New Roman" w:cs="Times New Roman"/>
          <w:sz w:val="20"/>
          <w:szCs w:val="20"/>
          <w:lang w:val="en-GB"/>
        </w:rPr>
        <w:t xml:space="preserve">(0.5-4.4 ppm) </w:t>
      </w:r>
      <w:r w:rsidRPr="00CF57B2">
        <w:rPr>
          <w:rFonts w:ascii="Times New Roman" w:eastAsia="Times New Roman" w:hAnsi="Times New Roman" w:cs="Times New Roman"/>
          <w:sz w:val="20"/>
          <w:szCs w:val="20"/>
          <w:lang w:val="en-GB" w:eastAsia="es-ES"/>
        </w:rPr>
        <w:t xml:space="preserve">to eliminate differences in metabolite total concentration. </w:t>
      </w:r>
      <w:r w:rsidRPr="00CF57B2">
        <w:rPr>
          <w:rFonts w:ascii="Times New Roman" w:hAnsi="Times New Roman" w:cs="Times New Roman"/>
          <w:sz w:val="20"/>
          <w:szCs w:val="20"/>
          <w:lang w:val="en-GB"/>
        </w:rPr>
        <w:t>Data were imported into MATLAB R2012a (The MathWorks Inc., Natick, MA 2012) for additional processing and further analysis. Signals belonging to selected metabolites were integrated and quantified using semi-automated in-house MATLAB peak-fitting routines.</w:t>
      </w:r>
    </w:p>
    <w:p w:rsidR="00C47907" w:rsidRPr="00CF57B2" w:rsidRDefault="00C47907" w:rsidP="00C47907">
      <w:pPr>
        <w:pStyle w:val="Textoindependiente"/>
        <w:spacing w:line="480" w:lineRule="auto"/>
        <w:jc w:val="both"/>
        <w:rPr>
          <w:rFonts w:ascii="Times New Roman" w:hAnsi="Times New Roman" w:cs="Times New Roman"/>
          <w:b/>
          <w:lang w:val="en-GB"/>
        </w:rPr>
      </w:pPr>
      <w:r w:rsidRPr="00CF57B2">
        <w:rPr>
          <w:rFonts w:ascii="Times New Roman" w:hAnsi="Times New Roman" w:cs="Times New Roman"/>
          <w:b/>
          <w:lang w:val="en-GB"/>
        </w:rPr>
        <w:t>Statistical modelling</w:t>
      </w:r>
      <w:r w:rsidR="0045745C" w:rsidRPr="00CF57B2">
        <w:rPr>
          <w:rFonts w:ascii="Times New Roman" w:hAnsi="Times New Roman" w:cs="Times New Roman"/>
          <w:b/>
          <w:lang w:val="en-GB"/>
        </w:rPr>
        <w:t>.</w:t>
      </w:r>
      <w:r w:rsidR="0072223A" w:rsidRPr="00CF57B2">
        <w:rPr>
          <w:rFonts w:ascii="Times New Roman" w:hAnsi="Times New Roman" w:cs="Times New Roman"/>
          <w:b/>
          <w:lang w:val="en-GB"/>
        </w:rPr>
        <w:t xml:space="preserve"> Metabolomic m</w:t>
      </w:r>
      <w:r w:rsidR="008C6C5C" w:rsidRPr="00CF57B2">
        <w:rPr>
          <w:rFonts w:ascii="Times New Roman" w:hAnsi="Times New Roman" w:cs="Times New Roman"/>
          <w:b/>
          <w:lang w:val="en-GB"/>
        </w:rPr>
        <w:t>ortality model.</w:t>
      </w:r>
    </w:p>
    <w:p w:rsidR="00CF57B2" w:rsidRPr="00CF57B2" w:rsidRDefault="00C47907" w:rsidP="00C47907">
      <w:pPr>
        <w:spacing w:line="480" w:lineRule="auto"/>
        <w:jc w:val="both"/>
        <w:rPr>
          <w:rFonts w:ascii="Times New Roman" w:hAnsi="Times New Roman" w:cs="Times New Roman"/>
          <w:sz w:val="20"/>
          <w:szCs w:val="20"/>
          <w:lang w:val="en-GB"/>
        </w:rPr>
      </w:pPr>
      <w:r w:rsidRPr="00CF57B2">
        <w:rPr>
          <w:rFonts w:ascii="Times New Roman" w:hAnsi="Times New Roman" w:cs="Times New Roman"/>
          <w:sz w:val="20"/>
          <w:szCs w:val="20"/>
          <w:lang w:val="en-GB"/>
        </w:rPr>
        <w:t xml:space="preserve">Chemometrics statistical analyses were performed using in-house MATLAB scripts and the PLS Toolbox 6.7 (Eigenvector Research, Inc., Wenatchee, WA, USA). Metabolite levels were expressed as mean ± SD (standard deviation). One-way-analysis of variance (ANOVA) was used in order to determinate the statistical significance between the means in both survivor and non-survivor groups. Principal component analysis (PCA) and projection to latent structures for discriminant analysis (PLS-DA) were applied to NMR spectral datasets (2). PCA is able to find low dimensional </w:t>
      </w:r>
      <w:r w:rsidR="00C25B0F" w:rsidRPr="00CF57B2">
        <w:rPr>
          <w:rFonts w:ascii="Times New Roman" w:hAnsi="Times New Roman" w:cs="Times New Roman"/>
          <w:sz w:val="20"/>
          <w:szCs w:val="20"/>
          <w:lang w:val="en-GB"/>
        </w:rPr>
        <w:t>embedding</w:t>
      </w:r>
      <w:r w:rsidRPr="00CF57B2">
        <w:rPr>
          <w:rFonts w:ascii="Times New Roman" w:hAnsi="Times New Roman" w:cs="Times New Roman"/>
          <w:sz w:val="20"/>
          <w:szCs w:val="20"/>
          <w:lang w:val="en-GB"/>
        </w:rPr>
        <w:t xml:space="preserve"> of multivariate data, in a way that optimally preserves the structure of the data. PCA technique transforms variables in a data set into a smaller number of new latent variables called principal components (PCs), which are uncorrelated to each other </w:t>
      </w:r>
      <w:r w:rsidRPr="00CF57B2">
        <w:rPr>
          <w:rFonts w:ascii="Times New Roman" w:hAnsi="Times New Roman" w:cs="Times New Roman"/>
          <w:sz w:val="20"/>
          <w:szCs w:val="20"/>
          <w:lang w:val="en-GB"/>
        </w:rPr>
        <w:lastRenderedPageBreak/>
        <w:t>and account for decreasing proportions of the total variance of the original variables. Each new PC is a linear combination of the original variation such that a compact description of the variation within the data set is generated. Observations are assigned scores according to the variation measured by the principal component with those having similar scores clustering together.</w:t>
      </w:r>
    </w:p>
    <w:p w:rsidR="00CF57B2" w:rsidRPr="00CF57B2" w:rsidRDefault="00C47907" w:rsidP="00C47907">
      <w:pPr>
        <w:spacing w:line="480" w:lineRule="auto"/>
        <w:jc w:val="both"/>
        <w:rPr>
          <w:rFonts w:ascii="Times New Roman" w:hAnsi="Times New Roman" w:cs="Times New Roman"/>
          <w:sz w:val="20"/>
          <w:szCs w:val="20"/>
          <w:lang w:val="en-GB"/>
        </w:rPr>
      </w:pPr>
      <w:r w:rsidRPr="00CF57B2">
        <w:rPr>
          <w:rFonts w:ascii="Times New Roman" w:hAnsi="Times New Roman" w:cs="Times New Roman"/>
          <w:sz w:val="20"/>
          <w:szCs w:val="20"/>
          <w:lang w:val="en-GB"/>
        </w:rPr>
        <w:t>Where PCA proved inadequate to define clustering, a supervised approach was used. PLS-DA is a supervised extension of PCA used to distinguish two or more classes by searching for variables (X matrix) that are correlated to class membership (Y matrix). In this approach the axes are calculated to maximize class separation and can be used to examine separation that would otherwise be across three or more principal components</w:t>
      </w:r>
      <w:r w:rsidR="00A34C63" w:rsidRPr="00CF57B2">
        <w:rPr>
          <w:rFonts w:ascii="Times New Roman" w:hAnsi="Times New Roman" w:cs="Times New Roman"/>
          <w:sz w:val="20"/>
          <w:szCs w:val="20"/>
          <w:lang w:val="en-GB"/>
        </w:rPr>
        <w:t xml:space="preserve"> </w:t>
      </w:r>
      <w:r w:rsidRPr="00CF57B2">
        <w:rPr>
          <w:rFonts w:ascii="Times New Roman" w:hAnsi="Times New Roman" w:cs="Times New Roman"/>
          <w:sz w:val="20"/>
          <w:szCs w:val="20"/>
          <w:lang w:val="en-GB"/>
        </w:rPr>
        <w:t>(3).</w:t>
      </w:r>
    </w:p>
    <w:p w:rsidR="00C47907" w:rsidRPr="00CF57B2" w:rsidRDefault="008C6C5C" w:rsidP="00C47907">
      <w:pPr>
        <w:pStyle w:val="Textoindependiente"/>
        <w:spacing w:line="480" w:lineRule="auto"/>
        <w:jc w:val="both"/>
        <w:rPr>
          <w:rFonts w:ascii="Times New Roman" w:hAnsi="Times New Roman" w:cs="Times New Roman"/>
          <w:b/>
          <w:lang w:val="en-GB"/>
        </w:rPr>
      </w:pPr>
      <w:r w:rsidRPr="00CF57B2">
        <w:rPr>
          <w:rFonts w:ascii="Times New Roman" w:hAnsi="Times New Roman" w:cs="Times New Roman"/>
          <w:b/>
          <w:lang w:val="en-GB"/>
        </w:rPr>
        <w:t>Comparison with conventional SOFA score</w:t>
      </w:r>
      <w:r w:rsidR="0072223A" w:rsidRPr="00CF57B2">
        <w:rPr>
          <w:rFonts w:ascii="Times New Roman" w:hAnsi="Times New Roman" w:cs="Times New Roman"/>
          <w:b/>
          <w:lang w:val="en-GB"/>
        </w:rPr>
        <w:t>.</w:t>
      </w:r>
    </w:p>
    <w:p w:rsidR="00C47907" w:rsidRPr="00CF57B2" w:rsidRDefault="00C47907" w:rsidP="00C47907">
      <w:pPr>
        <w:spacing w:line="480" w:lineRule="auto"/>
        <w:jc w:val="both"/>
        <w:rPr>
          <w:rFonts w:ascii="Times New Roman" w:hAnsi="Times New Roman" w:cs="Times New Roman"/>
          <w:sz w:val="20"/>
          <w:szCs w:val="20"/>
          <w:lang w:val="en-GB"/>
        </w:rPr>
      </w:pPr>
      <w:r w:rsidRPr="00CF57B2">
        <w:rPr>
          <w:rFonts w:ascii="Times New Roman" w:hAnsi="Times New Roman" w:cs="Times New Roman"/>
          <w:sz w:val="20"/>
          <w:szCs w:val="20"/>
          <w:lang w:val="en-GB"/>
        </w:rPr>
        <w:t>The PLS-DA model discriminating between controls and patients was cross-validated by the leave-one-out method. Cross</w:t>
      </w:r>
      <w:r w:rsidR="0045745C" w:rsidRPr="00CF57B2">
        <w:rPr>
          <w:rFonts w:ascii="Times New Roman" w:hAnsi="Times New Roman" w:cs="Times New Roman"/>
          <w:sz w:val="20"/>
          <w:szCs w:val="20"/>
          <w:lang w:val="en-GB"/>
        </w:rPr>
        <w:t>-</w:t>
      </w:r>
      <w:r w:rsidRPr="00CF57B2">
        <w:rPr>
          <w:rFonts w:ascii="Times New Roman" w:hAnsi="Times New Roman" w:cs="Times New Roman"/>
          <w:sz w:val="20"/>
          <w:szCs w:val="20"/>
          <w:lang w:val="en-GB"/>
        </w:rPr>
        <w:t xml:space="preserve">validation is a very useful tool that provides two critical functions in </w:t>
      </w:r>
      <w:r w:rsidR="0045745C" w:rsidRPr="00CF57B2">
        <w:rPr>
          <w:rFonts w:ascii="Times New Roman" w:hAnsi="Times New Roman" w:cs="Times New Roman"/>
          <w:sz w:val="20"/>
          <w:szCs w:val="20"/>
          <w:lang w:val="en-GB"/>
        </w:rPr>
        <w:t>Chemometrics</w:t>
      </w:r>
      <w:r w:rsidRPr="00CF57B2">
        <w:rPr>
          <w:rFonts w:ascii="Times New Roman" w:hAnsi="Times New Roman" w:cs="Times New Roman"/>
          <w:sz w:val="20"/>
          <w:szCs w:val="20"/>
          <w:lang w:val="en-GB"/>
        </w:rPr>
        <w:t>. First, cross validation enables an assessment of the optimal complexity of a model. Second, it allows an estimation of the performance of a model when it is applied to unknown data. Leave-one-out cross-validation involves the use of a single observation from the original sample as the validation data, and the remaining observations as the training data. This is repeated in a manner that each observation in the sample is used once as the validation data.</w:t>
      </w:r>
    </w:p>
    <w:p w:rsidR="00C47907" w:rsidRPr="00CF57B2" w:rsidRDefault="00C47907" w:rsidP="00A34C63">
      <w:pPr>
        <w:pStyle w:val="Textoindependiente"/>
        <w:spacing w:line="480" w:lineRule="auto"/>
        <w:jc w:val="both"/>
        <w:rPr>
          <w:rFonts w:ascii="Times New Roman" w:eastAsiaTheme="minorHAnsi" w:hAnsi="Times New Roman" w:cs="Times New Roman"/>
          <w:lang w:val="en-GB" w:eastAsia="en-US"/>
        </w:rPr>
      </w:pPr>
      <w:r w:rsidRPr="00CF57B2">
        <w:rPr>
          <w:rFonts w:ascii="Times New Roman" w:eastAsiaTheme="minorHAnsi" w:hAnsi="Times New Roman" w:cs="Times New Roman"/>
          <w:lang w:val="en-GB" w:eastAsia="en-US"/>
        </w:rPr>
        <w:t xml:space="preserve">To compare performance in the mortality prediction of </w:t>
      </w:r>
      <w:r w:rsidR="0045745C" w:rsidRPr="00CF57B2">
        <w:rPr>
          <w:rFonts w:ascii="Times New Roman" w:eastAsiaTheme="minorHAnsi" w:hAnsi="Times New Roman" w:cs="Times New Roman"/>
          <w:lang w:val="en-GB" w:eastAsia="en-US"/>
        </w:rPr>
        <w:t>Metabolomic</w:t>
      </w:r>
      <w:r w:rsidRPr="00CF57B2">
        <w:rPr>
          <w:rFonts w:ascii="Times New Roman" w:eastAsiaTheme="minorHAnsi" w:hAnsi="Times New Roman" w:cs="Times New Roman"/>
          <w:lang w:val="en-GB" w:eastAsia="en-US"/>
        </w:rPr>
        <w:t xml:space="preserve"> and SOFA scores a multi-step statistical analysis was performed based </w:t>
      </w:r>
      <w:r w:rsidR="009F0B2D" w:rsidRPr="00CF57B2">
        <w:rPr>
          <w:rFonts w:ascii="Times New Roman" w:eastAsiaTheme="minorHAnsi" w:hAnsi="Times New Roman" w:cs="Times New Roman"/>
          <w:lang w:val="en-GB" w:eastAsia="en-US"/>
        </w:rPr>
        <w:t>on the study of Cabré et al.(4)</w:t>
      </w:r>
      <w:r w:rsidRPr="00CF57B2">
        <w:rPr>
          <w:rFonts w:ascii="Times New Roman" w:eastAsiaTheme="minorHAnsi" w:hAnsi="Times New Roman" w:cs="Times New Roman"/>
          <w:lang w:val="en-GB" w:eastAsia="en-US"/>
        </w:rPr>
        <w:t xml:space="preserve"> Continuous data are presented as means and standard deviations or medians and interquartile ranges and when appropriate were compared for statistical differences using the unpaired t or Mann-Whitney U test. Categorical data are reported as proportions rounded to the nearest whole number and where applicable were tested for significance using the χ2 or Fisher exact test. To study the relationship between the SOFA scores and mortality, we have calculated for each patient a linear regression determined by the intercept in origin (SOFA-0h) and the slope (evolutionary value SOFA-24h and -72h). The same procedure was followed with metabo</w:t>
      </w:r>
      <w:r w:rsidR="00C06BFE" w:rsidRPr="00CF57B2">
        <w:rPr>
          <w:rFonts w:ascii="Times New Roman" w:eastAsiaTheme="minorHAnsi" w:hAnsi="Times New Roman" w:cs="Times New Roman"/>
          <w:lang w:val="en-GB" w:eastAsia="en-US"/>
        </w:rPr>
        <w:t>l</w:t>
      </w:r>
      <w:r w:rsidRPr="00CF57B2">
        <w:rPr>
          <w:rFonts w:ascii="Times New Roman" w:eastAsiaTheme="minorHAnsi" w:hAnsi="Times New Roman" w:cs="Times New Roman"/>
          <w:lang w:val="en-GB" w:eastAsia="en-US"/>
        </w:rPr>
        <w:t xml:space="preserve">omics scores. In this case, the intercept in origin was Urine-0h and the slope, Urine-24h. With the values obtained, we fitted </w:t>
      </w:r>
      <w:r w:rsidRPr="00CF57B2">
        <w:rPr>
          <w:rFonts w:ascii="Times New Roman" w:eastAsiaTheme="minorHAnsi" w:hAnsi="Times New Roman" w:cs="Times New Roman"/>
          <w:lang w:val="en-GB" w:eastAsia="en-US"/>
        </w:rPr>
        <w:lastRenderedPageBreak/>
        <w:t>a multivariable logistic regression model using the sequential method stepwise forward base on the likelihood ratio (entry p ≤ 0.05) to see if the findings are significant for predicting death.</w:t>
      </w:r>
    </w:p>
    <w:p w:rsidR="00C47907" w:rsidRPr="00CF57B2" w:rsidRDefault="00C47907" w:rsidP="00A34C63">
      <w:pPr>
        <w:pStyle w:val="Textoindependiente"/>
        <w:spacing w:after="0" w:line="480" w:lineRule="auto"/>
        <w:jc w:val="both"/>
        <w:rPr>
          <w:rFonts w:ascii="Times New Roman" w:hAnsi="Times New Roman" w:cs="Times New Roman"/>
          <w:b/>
          <w:lang w:val="en-GB"/>
        </w:rPr>
      </w:pPr>
      <w:r w:rsidRPr="00CF57B2">
        <w:rPr>
          <w:rFonts w:ascii="Times New Roman" w:eastAsiaTheme="minorHAnsi" w:hAnsi="Times New Roman" w:cs="Times New Roman"/>
          <w:lang w:val="en-GB" w:eastAsia="en-US"/>
        </w:rPr>
        <w:t xml:space="preserve">To see that the model is a good diagnostic method we have calculated the calibration using the analysis of the goodness of fit, using the statistical technique described by Hosmer-Lemeshow. To calculate the discrimination we have obtained the area under the ROC curve and diagnostic quality indices (sensitivity, specificity, positive and negative predictive values, likelihood ratio) for the optimal </w:t>
      </w:r>
      <w:r w:rsidR="00C25B0F" w:rsidRPr="00CF57B2">
        <w:rPr>
          <w:rFonts w:ascii="Times New Roman" w:eastAsiaTheme="minorHAnsi" w:hAnsi="Times New Roman" w:cs="Times New Roman"/>
          <w:lang w:val="en-GB" w:eastAsia="en-US"/>
        </w:rPr>
        <w:t>cut-off</w:t>
      </w:r>
      <w:r w:rsidRPr="00CF57B2">
        <w:rPr>
          <w:rFonts w:ascii="Times New Roman" w:eastAsiaTheme="minorHAnsi" w:hAnsi="Times New Roman" w:cs="Times New Roman"/>
          <w:lang w:val="en-GB" w:eastAsia="en-US"/>
        </w:rPr>
        <w:t>.</w:t>
      </w:r>
      <w:r w:rsidR="00A34C63" w:rsidRPr="00CF57B2">
        <w:rPr>
          <w:rFonts w:ascii="Times New Roman" w:eastAsiaTheme="minorHAnsi" w:hAnsi="Times New Roman" w:cs="Times New Roman"/>
          <w:lang w:val="en-GB" w:eastAsia="en-US"/>
        </w:rPr>
        <w:t xml:space="preserve"> </w:t>
      </w:r>
      <w:r w:rsidRPr="00CF57B2">
        <w:rPr>
          <w:rFonts w:ascii="Times New Roman" w:eastAsiaTheme="minorHAnsi" w:hAnsi="Times New Roman" w:cs="Times New Roman"/>
          <w:lang w:val="en-GB" w:eastAsia="en-US"/>
        </w:rPr>
        <w:t>In order to compare t</w:t>
      </w:r>
      <w:r w:rsidR="009F0B2D" w:rsidRPr="00CF57B2">
        <w:rPr>
          <w:rFonts w:ascii="Times New Roman" w:eastAsiaTheme="minorHAnsi" w:hAnsi="Times New Roman" w:cs="Times New Roman"/>
          <w:lang w:val="en-GB" w:eastAsia="en-US"/>
        </w:rPr>
        <w:t>he results of both ROC curves, M</w:t>
      </w:r>
      <w:r w:rsidRPr="00CF57B2">
        <w:rPr>
          <w:rFonts w:ascii="Times New Roman" w:eastAsiaTheme="minorHAnsi" w:hAnsi="Times New Roman" w:cs="Times New Roman"/>
          <w:lang w:val="en-GB" w:eastAsia="en-US"/>
        </w:rPr>
        <w:t>etabo</w:t>
      </w:r>
      <w:r w:rsidR="00C06BFE" w:rsidRPr="00CF57B2">
        <w:rPr>
          <w:rFonts w:ascii="Times New Roman" w:eastAsiaTheme="minorHAnsi" w:hAnsi="Times New Roman" w:cs="Times New Roman"/>
          <w:lang w:val="en-GB" w:eastAsia="en-US"/>
        </w:rPr>
        <w:t>l</w:t>
      </w:r>
      <w:r w:rsidRPr="00CF57B2">
        <w:rPr>
          <w:rFonts w:ascii="Times New Roman" w:eastAsiaTheme="minorHAnsi" w:hAnsi="Times New Roman" w:cs="Times New Roman"/>
          <w:lang w:val="en-GB" w:eastAsia="en-US"/>
        </w:rPr>
        <w:t>omics and SOFA, we used the test of Hanley and McNeil. In all statistical tests, p≤ 0.05 was considered to indicate statistical significance.</w:t>
      </w:r>
    </w:p>
    <w:p w:rsidR="009F0B2D" w:rsidRPr="00CF57B2" w:rsidRDefault="009F0B2D" w:rsidP="00C47907">
      <w:pPr>
        <w:widowControl w:val="0"/>
        <w:suppressAutoHyphens/>
        <w:spacing w:after="0" w:line="240" w:lineRule="auto"/>
        <w:rPr>
          <w:rFonts w:ascii="Times New Roman" w:eastAsia="Cambria" w:hAnsi="Times New Roman" w:cs="Times New Roman"/>
          <w:b/>
          <w:sz w:val="20"/>
          <w:szCs w:val="20"/>
          <w:lang w:val="en-GB" w:eastAsia="ar-SA"/>
        </w:rPr>
      </w:pPr>
    </w:p>
    <w:p w:rsidR="00C47907" w:rsidRPr="00CF57B2" w:rsidRDefault="00C47907" w:rsidP="00C47907">
      <w:pPr>
        <w:widowControl w:val="0"/>
        <w:suppressAutoHyphens/>
        <w:spacing w:after="0" w:line="240" w:lineRule="auto"/>
        <w:rPr>
          <w:rFonts w:ascii="Times New Roman" w:eastAsia="Cambria" w:hAnsi="Times New Roman" w:cs="Times New Roman"/>
          <w:b/>
          <w:sz w:val="20"/>
          <w:szCs w:val="20"/>
          <w:lang w:val="en-GB" w:eastAsia="ar-SA"/>
        </w:rPr>
      </w:pPr>
      <w:r w:rsidRPr="00CF57B2">
        <w:rPr>
          <w:rFonts w:ascii="Times New Roman" w:eastAsia="Cambria" w:hAnsi="Times New Roman" w:cs="Times New Roman"/>
          <w:b/>
          <w:sz w:val="20"/>
          <w:szCs w:val="20"/>
          <w:lang w:val="en-GB" w:eastAsia="ar-SA"/>
        </w:rPr>
        <w:t>REFERENCES</w:t>
      </w:r>
    </w:p>
    <w:p w:rsidR="00C47907" w:rsidRPr="00CF57B2" w:rsidRDefault="00C47907" w:rsidP="00C47907">
      <w:pPr>
        <w:pStyle w:val="HTMLconformatoprevio"/>
        <w:spacing w:line="480" w:lineRule="auto"/>
        <w:jc w:val="both"/>
        <w:rPr>
          <w:rFonts w:ascii="Times New Roman" w:hAnsi="Times New Roman" w:cs="Times New Roman"/>
          <w:lang w:val="en-GB"/>
        </w:rPr>
      </w:pPr>
    </w:p>
    <w:p w:rsidR="00561F9D" w:rsidRPr="00CF57B2" w:rsidRDefault="00CF57B2" w:rsidP="00C47907">
      <w:pPr>
        <w:pStyle w:val="HTMLconformatoprevio"/>
        <w:spacing w:line="480" w:lineRule="auto"/>
        <w:jc w:val="both"/>
        <w:rPr>
          <w:rFonts w:ascii="Times New Roman" w:eastAsia="Cambria" w:hAnsi="Times New Roman" w:cs="Times New Roman"/>
          <w:lang w:val="en-GB" w:eastAsia="ar-SA"/>
        </w:rPr>
      </w:pPr>
      <w:r w:rsidRPr="00CF57B2">
        <w:rPr>
          <w:rFonts w:ascii="Times New Roman" w:eastAsia="Cambria" w:hAnsi="Times New Roman" w:cs="Times New Roman"/>
          <w:lang w:val="en-GB" w:eastAsia="ar-SA"/>
        </w:rPr>
        <w:t>S</w:t>
      </w:r>
      <w:r w:rsidR="00C47907" w:rsidRPr="00CF57B2">
        <w:rPr>
          <w:rFonts w:ascii="Times New Roman" w:eastAsia="Cambria" w:hAnsi="Times New Roman" w:cs="Times New Roman"/>
          <w:lang w:val="en-GB" w:eastAsia="ar-SA"/>
        </w:rPr>
        <w:t xml:space="preserve">1. Knaus WA, Draper EA, Wagner DP, Zimmerman JE. APACHE II: a severity of disease classification system. </w:t>
      </w:r>
      <w:r w:rsidR="00C47907" w:rsidRPr="00B905E6">
        <w:rPr>
          <w:rFonts w:ascii="Times New Roman" w:eastAsia="Cambria" w:hAnsi="Times New Roman" w:cs="Times New Roman"/>
          <w:lang w:val="en-GB" w:eastAsia="ar-SA"/>
        </w:rPr>
        <w:t>Crit Care Med</w:t>
      </w:r>
      <w:r w:rsidR="00C47907" w:rsidRPr="00CF57B2">
        <w:rPr>
          <w:rFonts w:ascii="Times New Roman" w:eastAsia="Cambria" w:hAnsi="Times New Roman" w:cs="Times New Roman"/>
          <w:lang w:val="en-GB" w:eastAsia="ar-SA"/>
        </w:rPr>
        <w:t xml:space="preserve"> 1985; 13: 818-829.</w:t>
      </w:r>
    </w:p>
    <w:p w:rsidR="00C47907" w:rsidRPr="00B905E6" w:rsidRDefault="00CF57B2" w:rsidP="00C06BFE">
      <w:pPr>
        <w:autoSpaceDE w:val="0"/>
        <w:autoSpaceDN w:val="0"/>
        <w:adjustRightInd w:val="0"/>
        <w:spacing w:after="0" w:line="480" w:lineRule="auto"/>
        <w:jc w:val="both"/>
        <w:rPr>
          <w:rFonts w:ascii="Times New Roman" w:eastAsia="Cambria" w:hAnsi="Times New Roman" w:cs="Times New Roman"/>
          <w:sz w:val="20"/>
          <w:szCs w:val="20"/>
          <w:lang w:val="en-GB" w:eastAsia="ar-SA"/>
        </w:rPr>
      </w:pPr>
      <w:r w:rsidRPr="00CF57B2">
        <w:rPr>
          <w:rFonts w:ascii="Times New Roman" w:hAnsi="Times New Roman" w:cs="Times New Roman"/>
          <w:sz w:val="20"/>
          <w:szCs w:val="20"/>
          <w:lang w:val="en-GB"/>
        </w:rPr>
        <w:t>S</w:t>
      </w:r>
      <w:r w:rsidR="00C47907" w:rsidRPr="00CF57B2">
        <w:rPr>
          <w:rFonts w:ascii="Times New Roman" w:hAnsi="Times New Roman" w:cs="Times New Roman"/>
          <w:sz w:val="20"/>
          <w:szCs w:val="20"/>
          <w:lang w:val="en-GB"/>
        </w:rPr>
        <w:t xml:space="preserve">2. </w:t>
      </w:r>
      <w:r w:rsidR="00C47907" w:rsidRPr="00CF57B2">
        <w:rPr>
          <w:rFonts w:ascii="Times New Roman" w:eastAsia="Cambria" w:hAnsi="Times New Roman" w:cs="Times New Roman"/>
          <w:sz w:val="20"/>
          <w:szCs w:val="20"/>
          <w:lang w:val="en-GB" w:eastAsia="ar-SA"/>
        </w:rPr>
        <w:t>Verboven, S. and M. Hubert; LIBRA: a MATLAB library for robust analysis.</w:t>
      </w:r>
      <w:r w:rsidR="00C06BFE" w:rsidRPr="00CF57B2">
        <w:rPr>
          <w:rFonts w:ascii="Times New Roman" w:eastAsia="Cambria" w:hAnsi="Times New Roman" w:cs="Times New Roman"/>
          <w:sz w:val="20"/>
          <w:szCs w:val="20"/>
          <w:lang w:val="en-GB" w:eastAsia="ar-SA"/>
        </w:rPr>
        <w:t xml:space="preserve"> </w:t>
      </w:r>
      <w:r w:rsidR="00C47907" w:rsidRPr="00B905E6">
        <w:rPr>
          <w:rFonts w:ascii="Times New Roman" w:eastAsia="Cambria" w:hAnsi="Times New Roman" w:cs="Times New Roman"/>
          <w:sz w:val="20"/>
          <w:szCs w:val="20"/>
          <w:lang w:val="en-GB" w:eastAsia="ar-SA"/>
        </w:rPr>
        <w:t>Chemometrics and Intelligent Laboratory Systems 2005; 75: 127-136.</w:t>
      </w:r>
    </w:p>
    <w:p w:rsidR="00561F9D" w:rsidRPr="00CF57B2" w:rsidRDefault="00CF57B2" w:rsidP="00C47907">
      <w:pPr>
        <w:pStyle w:val="HTMLconformatoprevio"/>
        <w:spacing w:line="480" w:lineRule="auto"/>
        <w:jc w:val="both"/>
        <w:rPr>
          <w:rFonts w:ascii="Times New Roman" w:hAnsi="Times New Roman" w:cs="Times New Roman"/>
          <w:bCs/>
          <w:noProof/>
          <w:lang w:val="en-GB"/>
        </w:rPr>
      </w:pPr>
      <w:r w:rsidRPr="00CF57B2">
        <w:rPr>
          <w:rFonts w:ascii="Times New Roman" w:eastAsia="Cambria" w:hAnsi="Times New Roman" w:cs="Times New Roman"/>
          <w:lang w:val="en-GB" w:eastAsia="ar-SA"/>
        </w:rPr>
        <w:t>S</w:t>
      </w:r>
      <w:r w:rsidR="00C47907" w:rsidRPr="00CF57B2">
        <w:rPr>
          <w:rFonts w:ascii="Times New Roman" w:eastAsia="Cambria" w:hAnsi="Times New Roman" w:cs="Times New Roman"/>
          <w:lang w:val="en-GB" w:eastAsia="ar-SA"/>
        </w:rPr>
        <w:t xml:space="preserve">3. </w:t>
      </w:r>
      <w:r w:rsidR="00C47907" w:rsidRPr="00CF57B2">
        <w:rPr>
          <w:rFonts w:ascii="Times New Roman" w:hAnsi="Times New Roman" w:cs="Times New Roman"/>
          <w:bCs/>
          <w:noProof/>
          <w:lang w:val="en-GB"/>
        </w:rPr>
        <w:t xml:space="preserve">Trygg J, Holmes E, Lundstedt T. Chemometrics in metabonomics. </w:t>
      </w:r>
      <w:r w:rsidR="00C47907" w:rsidRPr="00B905E6">
        <w:rPr>
          <w:rFonts w:ascii="Times New Roman" w:hAnsi="Times New Roman" w:cs="Times New Roman"/>
          <w:bCs/>
          <w:noProof/>
          <w:lang w:val="en-GB"/>
        </w:rPr>
        <w:t>J Proteome Res</w:t>
      </w:r>
      <w:r w:rsidR="00C47907" w:rsidRPr="00CF57B2">
        <w:rPr>
          <w:rFonts w:ascii="Times New Roman" w:hAnsi="Times New Roman" w:cs="Times New Roman"/>
          <w:bCs/>
          <w:noProof/>
          <w:lang w:val="en-GB"/>
        </w:rPr>
        <w:t xml:space="preserve"> 2007; 6:469-479.</w:t>
      </w:r>
    </w:p>
    <w:p w:rsidR="00C47907" w:rsidRPr="00CF57B2" w:rsidRDefault="00CF57B2" w:rsidP="00C47907">
      <w:pPr>
        <w:pStyle w:val="HTMLconformatoprevio"/>
        <w:spacing w:line="480" w:lineRule="auto"/>
        <w:jc w:val="both"/>
        <w:rPr>
          <w:rFonts w:ascii="Times New Roman" w:eastAsia="Cambria" w:hAnsi="Times New Roman" w:cs="Times New Roman"/>
          <w:lang w:val="en-GB" w:eastAsia="ar-SA"/>
        </w:rPr>
      </w:pPr>
      <w:r w:rsidRPr="00CF57B2">
        <w:rPr>
          <w:rFonts w:ascii="Times New Roman" w:eastAsia="Cambria" w:hAnsi="Times New Roman" w:cs="Times New Roman"/>
          <w:lang w:val="en-GB" w:eastAsia="ar-SA"/>
        </w:rPr>
        <w:t>S</w:t>
      </w:r>
      <w:r w:rsidR="00C47907" w:rsidRPr="00CF57B2">
        <w:rPr>
          <w:rFonts w:ascii="Times New Roman" w:eastAsia="Cambria" w:hAnsi="Times New Roman" w:cs="Times New Roman"/>
          <w:lang w:val="en-GB" w:eastAsia="ar-SA"/>
        </w:rPr>
        <w:t>4. Cabré L, Mancebo J, Solsona JF, Saura P, Gich I, Blanch L, Carrasco G, Martín MC, Working group of the SEMICYUC. Multicenter study of the multiple organ</w:t>
      </w:r>
      <w:r w:rsidR="00C06BFE" w:rsidRPr="00CF57B2">
        <w:rPr>
          <w:rFonts w:ascii="Times New Roman" w:eastAsia="Cambria" w:hAnsi="Times New Roman" w:cs="Times New Roman"/>
          <w:lang w:val="en-GB" w:eastAsia="ar-SA"/>
        </w:rPr>
        <w:t xml:space="preserve"> </w:t>
      </w:r>
      <w:r w:rsidR="00C47907" w:rsidRPr="00CF57B2">
        <w:rPr>
          <w:rFonts w:ascii="Times New Roman" w:eastAsia="Cambria" w:hAnsi="Times New Roman" w:cs="Times New Roman"/>
          <w:lang w:val="en-GB" w:eastAsia="ar-SA"/>
        </w:rPr>
        <w:t xml:space="preserve">dysfunction syndrome in intensive care units: the usefulness of Sequential Organ Failure Assessment scores in decision making. </w:t>
      </w:r>
      <w:r w:rsidR="00C47907" w:rsidRPr="00B905E6">
        <w:rPr>
          <w:rFonts w:ascii="Times New Roman" w:eastAsia="Cambria" w:hAnsi="Times New Roman" w:cs="Times New Roman"/>
          <w:lang w:val="en-GB" w:eastAsia="ar-SA"/>
        </w:rPr>
        <w:t>Intensive Care Med</w:t>
      </w:r>
      <w:r w:rsidR="00C47907" w:rsidRPr="00CF57B2">
        <w:rPr>
          <w:rFonts w:ascii="Times New Roman" w:eastAsia="Cambria" w:hAnsi="Times New Roman" w:cs="Times New Roman"/>
          <w:lang w:val="en-GB" w:eastAsia="ar-SA"/>
        </w:rPr>
        <w:t xml:space="preserve"> 2005; 31: 927-933.</w:t>
      </w:r>
    </w:p>
    <w:p w:rsidR="00CE46D0" w:rsidRPr="00C25B0F" w:rsidRDefault="00CE46D0" w:rsidP="00C47907">
      <w:pPr>
        <w:spacing w:line="480" w:lineRule="auto"/>
        <w:jc w:val="both"/>
        <w:rPr>
          <w:rFonts w:ascii="Times New Roman" w:eastAsia="Cambria" w:hAnsi="Times New Roman" w:cs="Times New Roman"/>
          <w:color w:val="141314"/>
          <w:sz w:val="24"/>
          <w:szCs w:val="24"/>
          <w:lang w:val="en-GB" w:eastAsia="ar-SA"/>
        </w:rPr>
      </w:pPr>
    </w:p>
    <w:p w:rsidR="00CE46D0" w:rsidRPr="00C25B0F" w:rsidRDefault="00CE46D0" w:rsidP="00C47907">
      <w:pPr>
        <w:spacing w:line="480" w:lineRule="auto"/>
        <w:jc w:val="both"/>
        <w:rPr>
          <w:rFonts w:ascii="Times New Roman" w:eastAsia="Cambria" w:hAnsi="Times New Roman" w:cs="Times New Roman"/>
          <w:color w:val="141314"/>
          <w:sz w:val="24"/>
          <w:szCs w:val="24"/>
          <w:lang w:val="en-GB" w:eastAsia="ar-SA"/>
        </w:rPr>
      </w:pPr>
      <w:bookmarkStart w:id="0" w:name="_GoBack"/>
      <w:bookmarkEnd w:id="0"/>
    </w:p>
    <w:sectPr w:rsidR="00CE46D0" w:rsidRPr="00C25B0F" w:rsidSect="00CF57B2">
      <w:footerReference w:type="default" r:id="rId7"/>
      <w:pgSz w:w="11906" w:h="16838"/>
      <w:pgMar w:top="2880" w:right="1699" w:bottom="1411" w:left="1699"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465E" w:rsidRDefault="002F465E" w:rsidP="003E1158">
      <w:pPr>
        <w:spacing w:after="0" w:line="240" w:lineRule="auto"/>
      </w:pPr>
      <w:r>
        <w:separator/>
      </w:r>
    </w:p>
  </w:endnote>
  <w:endnote w:type="continuationSeparator" w:id="0">
    <w:p w:rsidR="002F465E" w:rsidRDefault="002F465E" w:rsidP="003E11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Omega">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7819633"/>
      <w:docPartObj>
        <w:docPartGallery w:val="Page Numbers (Bottom of Page)"/>
        <w:docPartUnique/>
      </w:docPartObj>
    </w:sdtPr>
    <w:sdtEndPr/>
    <w:sdtContent>
      <w:p w:rsidR="003E1158" w:rsidRDefault="003E1158">
        <w:pPr>
          <w:pStyle w:val="Piedepgina"/>
          <w:jc w:val="center"/>
        </w:pPr>
        <w:r>
          <w:fldChar w:fldCharType="begin"/>
        </w:r>
        <w:r>
          <w:instrText>PAGE   \* MERGEFORMAT</w:instrText>
        </w:r>
        <w:r>
          <w:fldChar w:fldCharType="separate"/>
        </w:r>
        <w:r w:rsidR="00D5586C">
          <w:rPr>
            <w:noProof/>
          </w:rPr>
          <w:t>4</w:t>
        </w:r>
        <w:r>
          <w:fldChar w:fldCharType="end"/>
        </w:r>
      </w:p>
    </w:sdtContent>
  </w:sdt>
  <w:p w:rsidR="003E1158" w:rsidRDefault="003E115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465E" w:rsidRDefault="002F465E" w:rsidP="003E1158">
      <w:pPr>
        <w:spacing w:after="0" w:line="240" w:lineRule="auto"/>
      </w:pPr>
      <w:r>
        <w:separator/>
      </w:r>
    </w:p>
  </w:footnote>
  <w:footnote w:type="continuationSeparator" w:id="0">
    <w:p w:rsidR="002F465E" w:rsidRDefault="002F465E" w:rsidP="003E11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056067"/>
    <w:multiLevelType w:val="hybridMultilevel"/>
    <w:tmpl w:val="352E721A"/>
    <w:lvl w:ilvl="0" w:tplc="FFFFFFFF">
      <w:start w:val="4"/>
      <w:numFmt w:val="bullet"/>
      <w:lvlText w:val="-"/>
      <w:lvlJc w:val="left"/>
      <w:pPr>
        <w:ind w:left="720" w:hanging="360"/>
      </w:pPr>
      <w:rPr>
        <w:rFonts w:ascii="CG Omega" w:eastAsia="Times New Roman" w:hAnsi="CG Omeg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6D0"/>
    <w:rsid w:val="0004794A"/>
    <w:rsid w:val="0011109C"/>
    <w:rsid w:val="001816C8"/>
    <w:rsid w:val="00197564"/>
    <w:rsid w:val="001C6DC9"/>
    <w:rsid w:val="001D0CED"/>
    <w:rsid w:val="00226B26"/>
    <w:rsid w:val="002948E6"/>
    <w:rsid w:val="002F465E"/>
    <w:rsid w:val="00363571"/>
    <w:rsid w:val="003B4B93"/>
    <w:rsid w:val="003D2951"/>
    <w:rsid w:val="003E1158"/>
    <w:rsid w:val="003F5F2D"/>
    <w:rsid w:val="00431E5D"/>
    <w:rsid w:val="0045745C"/>
    <w:rsid w:val="005147CC"/>
    <w:rsid w:val="005574E0"/>
    <w:rsid w:val="00561F9D"/>
    <w:rsid w:val="006658A7"/>
    <w:rsid w:val="00687140"/>
    <w:rsid w:val="006B59A3"/>
    <w:rsid w:val="006C12BF"/>
    <w:rsid w:val="006E21ED"/>
    <w:rsid w:val="006E4376"/>
    <w:rsid w:val="0072223A"/>
    <w:rsid w:val="00776BE5"/>
    <w:rsid w:val="00790209"/>
    <w:rsid w:val="00791082"/>
    <w:rsid w:val="007A267A"/>
    <w:rsid w:val="007B739F"/>
    <w:rsid w:val="00804B5B"/>
    <w:rsid w:val="00823D65"/>
    <w:rsid w:val="00862CE8"/>
    <w:rsid w:val="008C6C5C"/>
    <w:rsid w:val="008F2108"/>
    <w:rsid w:val="0090622E"/>
    <w:rsid w:val="00987E25"/>
    <w:rsid w:val="009F0B2D"/>
    <w:rsid w:val="00A0468A"/>
    <w:rsid w:val="00A33B52"/>
    <w:rsid w:val="00A34C63"/>
    <w:rsid w:val="00A548F4"/>
    <w:rsid w:val="00A64250"/>
    <w:rsid w:val="00AF026F"/>
    <w:rsid w:val="00B02B7B"/>
    <w:rsid w:val="00B06695"/>
    <w:rsid w:val="00B3654D"/>
    <w:rsid w:val="00B85B96"/>
    <w:rsid w:val="00B905E6"/>
    <w:rsid w:val="00BA1F42"/>
    <w:rsid w:val="00BE6F67"/>
    <w:rsid w:val="00C06BFE"/>
    <w:rsid w:val="00C163F2"/>
    <w:rsid w:val="00C25B0F"/>
    <w:rsid w:val="00C47907"/>
    <w:rsid w:val="00C618A2"/>
    <w:rsid w:val="00C73809"/>
    <w:rsid w:val="00CE46D0"/>
    <w:rsid w:val="00CF57B2"/>
    <w:rsid w:val="00D17A18"/>
    <w:rsid w:val="00D5586C"/>
    <w:rsid w:val="00D678FA"/>
    <w:rsid w:val="00D97464"/>
    <w:rsid w:val="00DD51E7"/>
    <w:rsid w:val="00DD6C0B"/>
    <w:rsid w:val="00E12D7F"/>
    <w:rsid w:val="00E43F4C"/>
    <w:rsid w:val="00E764D2"/>
    <w:rsid w:val="00E767D4"/>
    <w:rsid w:val="00EB62B5"/>
    <w:rsid w:val="00ED363E"/>
    <w:rsid w:val="00EF31A5"/>
    <w:rsid w:val="00F07752"/>
    <w:rsid w:val="00F14E7D"/>
    <w:rsid w:val="00F1533E"/>
    <w:rsid w:val="00F276D8"/>
    <w:rsid w:val="00F467F3"/>
    <w:rsid w:val="00F80300"/>
    <w:rsid w:val="00FC28AC"/>
    <w:rsid w:val="00FD653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9B3565-6DD2-4C2B-BC81-39F43E508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link w:val="HTMLconformatoprevioCar"/>
    <w:uiPriority w:val="99"/>
    <w:unhideWhenUsed/>
    <w:rsid w:val="00C47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rsid w:val="00C47907"/>
    <w:rPr>
      <w:rFonts w:ascii="Courier New" w:eastAsia="Times New Roman" w:hAnsi="Courier New" w:cs="Courier New"/>
      <w:sz w:val="20"/>
      <w:szCs w:val="20"/>
      <w:lang w:eastAsia="es-ES"/>
    </w:rPr>
  </w:style>
  <w:style w:type="paragraph" w:styleId="Textoindependiente">
    <w:name w:val="Body Text"/>
    <w:basedOn w:val="Normal"/>
    <w:link w:val="TextoindependienteCar"/>
    <w:rsid w:val="00C47907"/>
    <w:pPr>
      <w:widowControl w:val="0"/>
      <w:suppressAutoHyphens/>
      <w:spacing w:after="120" w:line="240" w:lineRule="auto"/>
    </w:pPr>
    <w:rPr>
      <w:rFonts w:ascii="Cambria" w:eastAsia="Cambria" w:hAnsi="Cambria" w:cs="Cambria"/>
      <w:sz w:val="20"/>
      <w:szCs w:val="20"/>
      <w:lang w:val="x-none" w:eastAsia="ar-SA"/>
    </w:rPr>
  </w:style>
  <w:style w:type="character" w:customStyle="1" w:styleId="TextoindependienteCar">
    <w:name w:val="Texto independiente Car"/>
    <w:basedOn w:val="Fuentedeprrafopredeter"/>
    <w:link w:val="Textoindependiente"/>
    <w:rsid w:val="00C47907"/>
    <w:rPr>
      <w:rFonts w:ascii="Cambria" w:eastAsia="Cambria" w:hAnsi="Cambria" w:cs="Cambria"/>
      <w:sz w:val="20"/>
      <w:szCs w:val="20"/>
      <w:lang w:val="x-none" w:eastAsia="ar-SA"/>
    </w:rPr>
  </w:style>
  <w:style w:type="paragraph" w:customStyle="1" w:styleId="Default">
    <w:name w:val="Default"/>
    <w:rsid w:val="00C47907"/>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es-ES"/>
    </w:rPr>
  </w:style>
  <w:style w:type="paragraph" w:styleId="Textodeglobo">
    <w:name w:val="Balloon Text"/>
    <w:basedOn w:val="Normal"/>
    <w:link w:val="TextodegloboCar"/>
    <w:uiPriority w:val="99"/>
    <w:semiHidden/>
    <w:unhideWhenUsed/>
    <w:rsid w:val="0011109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1109C"/>
    <w:rPr>
      <w:rFonts w:ascii="Tahoma" w:hAnsi="Tahoma" w:cs="Tahoma"/>
      <w:sz w:val="16"/>
      <w:szCs w:val="16"/>
    </w:rPr>
  </w:style>
  <w:style w:type="paragraph" w:styleId="Encabezado">
    <w:name w:val="header"/>
    <w:basedOn w:val="Normal"/>
    <w:link w:val="EncabezadoCar"/>
    <w:uiPriority w:val="99"/>
    <w:unhideWhenUsed/>
    <w:rsid w:val="003E115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E1158"/>
  </w:style>
  <w:style w:type="paragraph" w:styleId="Piedepgina">
    <w:name w:val="footer"/>
    <w:basedOn w:val="Normal"/>
    <w:link w:val="PiedepginaCar"/>
    <w:uiPriority w:val="99"/>
    <w:unhideWhenUsed/>
    <w:rsid w:val="003E115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E1158"/>
  </w:style>
  <w:style w:type="table" w:styleId="Tablaconcuadrcula">
    <w:name w:val="Table Grid"/>
    <w:basedOn w:val="Tablanormal"/>
    <w:uiPriority w:val="39"/>
    <w:rsid w:val="00B066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06695"/>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5396905">
      <w:bodyDiv w:val="1"/>
      <w:marLeft w:val="0"/>
      <w:marRight w:val="0"/>
      <w:marTop w:val="0"/>
      <w:marBottom w:val="0"/>
      <w:divBdr>
        <w:top w:val="none" w:sz="0" w:space="0" w:color="auto"/>
        <w:left w:val="none" w:sz="0" w:space="0" w:color="auto"/>
        <w:bottom w:val="none" w:sz="0" w:space="0" w:color="auto"/>
        <w:right w:val="none" w:sz="0" w:space="0" w:color="auto"/>
      </w:divBdr>
    </w:div>
    <w:div w:id="1950504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1323</Words>
  <Characters>7277</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vannina</dc:creator>
  <cp:lastModifiedBy>jose manuel</cp:lastModifiedBy>
  <cp:revision>2</cp:revision>
  <dcterms:created xsi:type="dcterms:W3CDTF">2015-08-06T07:10:00Z</dcterms:created>
  <dcterms:modified xsi:type="dcterms:W3CDTF">2015-08-06T07:10:00Z</dcterms:modified>
</cp:coreProperties>
</file>