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84F7" w14:textId="372E7C66" w:rsidR="00AB72CC" w:rsidRPr="00194A07" w:rsidRDefault="00034BFA" w:rsidP="00AB7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S1</w:t>
      </w:r>
      <w:r w:rsidR="00EF5F4C">
        <w:rPr>
          <w:rFonts w:ascii="Times New Roman" w:hAnsi="Times New Roman"/>
          <w:b/>
          <w:sz w:val="24"/>
          <w:szCs w:val="24"/>
        </w:rPr>
        <w:t xml:space="preserve"> Table</w:t>
      </w:r>
      <w:r w:rsidR="00AB72CC">
        <w:rPr>
          <w:rFonts w:ascii="Times New Roman" w:hAnsi="Times New Roman"/>
          <w:b/>
          <w:sz w:val="24"/>
          <w:szCs w:val="24"/>
        </w:rPr>
        <w:t xml:space="preserve">. </w:t>
      </w:r>
      <w:r w:rsidR="00AB72CC" w:rsidRPr="00194A07">
        <w:rPr>
          <w:rFonts w:ascii="Times New Roman" w:hAnsi="Times New Roman"/>
          <w:b/>
          <w:sz w:val="24"/>
          <w:szCs w:val="24"/>
        </w:rPr>
        <w:t>Narrative descriptions decrease parochial empathy in ID-post participants.</w:t>
      </w:r>
    </w:p>
    <w:p w14:paraId="511E543D" w14:textId="77777777" w:rsidR="00AB72CC" w:rsidRPr="00194A07" w:rsidRDefault="00AB72CC" w:rsidP="00AB7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714" w:type="dxa"/>
        <w:jc w:val="center"/>
        <w:tblInd w:w="-1163" w:type="dxa"/>
        <w:tblLayout w:type="fixed"/>
        <w:tblLook w:val="01E0" w:firstRow="1" w:lastRow="1" w:firstColumn="1" w:lastColumn="1" w:noHBand="0" w:noVBand="0"/>
      </w:tblPr>
      <w:tblGrid>
        <w:gridCol w:w="3510"/>
        <w:gridCol w:w="1080"/>
        <w:gridCol w:w="990"/>
        <w:gridCol w:w="1080"/>
        <w:gridCol w:w="1027"/>
        <w:gridCol w:w="1027"/>
      </w:tblGrid>
      <w:tr w:rsidR="00AB72CC" w:rsidRPr="00194A07" w14:paraId="053D9FC4" w14:textId="77777777" w:rsidTr="00F62DC1">
        <w:trPr>
          <w:trHeight w:val="504"/>
          <w:jc w:val="center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14:paraId="13928C58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bCs/>
                <w:sz w:val="24"/>
                <w:szCs w:val="24"/>
              </w:rPr>
              <w:t>Effect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781EB9D2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4A07">
              <w:rPr>
                <w:rFonts w:ascii="Times New Roman" w:eastAsia="Times New Roman" w:hAnsi="Times New Roman"/>
                <w:bCs/>
                <w:sz w:val="24"/>
                <w:szCs w:val="24"/>
              </w:rPr>
              <w:t>Hyp</w:t>
            </w:r>
            <w:proofErr w:type="spellEnd"/>
            <w:r w:rsidRPr="00194A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DF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4DCBB3C9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bCs/>
                <w:sz w:val="24"/>
                <w:szCs w:val="24"/>
              </w:rPr>
              <w:t>Err DF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1ABD01A9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bCs/>
                <w:sz w:val="24"/>
                <w:szCs w:val="24"/>
              </w:rPr>
              <w:t>F Value</w:t>
            </w:r>
          </w:p>
        </w:tc>
        <w:tc>
          <w:tcPr>
            <w:tcW w:w="1027" w:type="dxa"/>
            <w:tcBorders>
              <w:top w:val="single" w:sz="8" w:space="0" w:color="auto"/>
              <w:bottom w:val="single" w:sz="8" w:space="0" w:color="auto"/>
            </w:tcBorders>
          </w:tcPr>
          <w:p w14:paraId="5FF5697D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bCs/>
                <w:sz w:val="24"/>
                <w:szCs w:val="24"/>
              </w:rPr>
              <w:t>P Value</w:t>
            </w:r>
          </w:p>
        </w:tc>
        <w:tc>
          <w:tcPr>
            <w:tcW w:w="1027" w:type="dxa"/>
            <w:tcBorders>
              <w:top w:val="single" w:sz="8" w:space="0" w:color="auto"/>
              <w:bottom w:val="single" w:sz="8" w:space="0" w:color="auto"/>
            </w:tcBorders>
          </w:tcPr>
          <w:p w14:paraId="64DCC9FB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η</w:t>
            </w:r>
            <w:r w:rsidRPr="00194A07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AB72CC" w:rsidRPr="00194A07" w14:paraId="19C2B86C" w14:textId="77777777" w:rsidTr="00F62DC1">
        <w:trPr>
          <w:trHeight w:val="504"/>
          <w:jc w:val="center"/>
        </w:trPr>
        <w:tc>
          <w:tcPr>
            <w:tcW w:w="3510" w:type="dxa"/>
            <w:tcBorders>
              <w:top w:val="single" w:sz="8" w:space="0" w:color="auto"/>
            </w:tcBorders>
          </w:tcPr>
          <w:p w14:paraId="2826E62A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7758A96E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1F68C870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1DE44AF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auto"/>
            </w:tcBorders>
          </w:tcPr>
          <w:p w14:paraId="16FDB8CE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auto"/>
            </w:tcBorders>
          </w:tcPr>
          <w:p w14:paraId="1EA77867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C" w:rsidRPr="00194A07" w14:paraId="0113C29A" w14:textId="77777777" w:rsidTr="00F62DC1">
        <w:trPr>
          <w:trHeight w:val="489"/>
          <w:jc w:val="center"/>
        </w:trPr>
        <w:tc>
          <w:tcPr>
            <w:tcW w:w="3510" w:type="dxa"/>
          </w:tcPr>
          <w:p w14:paraId="5E29D921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bCs/>
                <w:sz w:val="24"/>
                <w:szCs w:val="24"/>
              </w:rPr>
              <w:t>Target Group (TG)</w:t>
            </w:r>
          </w:p>
        </w:tc>
        <w:tc>
          <w:tcPr>
            <w:tcW w:w="1080" w:type="dxa"/>
          </w:tcPr>
          <w:p w14:paraId="067BB549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2E67361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080" w:type="dxa"/>
          </w:tcPr>
          <w:p w14:paraId="6DE5437A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27.6</w:t>
            </w:r>
          </w:p>
        </w:tc>
        <w:tc>
          <w:tcPr>
            <w:tcW w:w="1027" w:type="dxa"/>
          </w:tcPr>
          <w:p w14:paraId="0F5A8719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027" w:type="dxa"/>
          </w:tcPr>
          <w:p w14:paraId="1EFD9397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</w:tr>
      <w:tr w:rsidR="00AB72CC" w:rsidRPr="00194A07" w14:paraId="3FDC2AF3" w14:textId="77777777" w:rsidTr="00F62DC1">
        <w:trPr>
          <w:trHeight w:val="504"/>
          <w:jc w:val="center"/>
        </w:trPr>
        <w:tc>
          <w:tcPr>
            <w:tcW w:w="3510" w:type="dxa"/>
          </w:tcPr>
          <w:p w14:paraId="6E1D5101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bCs/>
                <w:sz w:val="24"/>
                <w:szCs w:val="24"/>
              </w:rPr>
              <w:t>Severity (SEV)</w:t>
            </w:r>
          </w:p>
        </w:tc>
        <w:tc>
          <w:tcPr>
            <w:tcW w:w="1080" w:type="dxa"/>
          </w:tcPr>
          <w:p w14:paraId="75B98301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8E3BB77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080" w:type="dxa"/>
          </w:tcPr>
          <w:p w14:paraId="039BB90C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1027" w:type="dxa"/>
          </w:tcPr>
          <w:p w14:paraId="0816BBA8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1027" w:type="dxa"/>
          </w:tcPr>
          <w:p w14:paraId="6B29DBA5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</w:tr>
      <w:tr w:rsidR="00AB72CC" w:rsidRPr="00194A07" w14:paraId="781B8776" w14:textId="77777777" w:rsidTr="00F62DC1">
        <w:trPr>
          <w:trHeight w:val="489"/>
          <w:jc w:val="center"/>
        </w:trPr>
        <w:tc>
          <w:tcPr>
            <w:tcW w:w="3510" w:type="dxa"/>
          </w:tcPr>
          <w:p w14:paraId="7C68763A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bCs/>
                <w:sz w:val="24"/>
                <w:szCs w:val="24"/>
              </w:rPr>
              <w:t>Narrative (NAR)</w:t>
            </w:r>
          </w:p>
        </w:tc>
        <w:tc>
          <w:tcPr>
            <w:tcW w:w="1080" w:type="dxa"/>
          </w:tcPr>
          <w:p w14:paraId="4E8C99FD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2FC4FC3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080" w:type="dxa"/>
          </w:tcPr>
          <w:p w14:paraId="248C9EF1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027" w:type="dxa"/>
          </w:tcPr>
          <w:p w14:paraId="41BA58BF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0.095</w:t>
            </w:r>
          </w:p>
        </w:tc>
        <w:tc>
          <w:tcPr>
            <w:tcW w:w="1027" w:type="dxa"/>
          </w:tcPr>
          <w:p w14:paraId="24EB7606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72CC" w:rsidRPr="00194A07" w14:paraId="106F9FDF" w14:textId="77777777" w:rsidTr="00F62DC1">
        <w:trPr>
          <w:trHeight w:val="489"/>
          <w:jc w:val="center"/>
        </w:trPr>
        <w:tc>
          <w:tcPr>
            <w:tcW w:w="3510" w:type="dxa"/>
          </w:tcPr>
          <w:p w14:paraId="5328BE6A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bCs/>
                <w:sz w:val="24"/>
                <w:szCs w:val="24"/>
              </w:rPr>
              <w:t>TG X SEV</w:t>
            </w:r>
          </w:p>
        </w:tc>
        <w:tc>
          <w:tcPr>
            <w:tcW w:w="1080" w:type="dxa"/>
          </w:tcPr>
          <w:p w14:paraId="5D1DCEC9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B92CC89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080" w:type="dxa"/>
          </w:tcPr>
          <w:p w14:paraId="29BD839B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027" w:type="dxa"/>
          </w:tcPr>
          <w:p w14:paraId="666E90FF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0.361</w:t>
            </w:r>
          </w:p>
        </w:tc>
        <w:tc>
          <w:tcPr>
            <w:tcW w:w="1027" w:type="dxa"/>
          </w:tcPr>
          <w:p w14:paraId="3ABD6F9D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72CC" w:rsidRPr="00194A07" w14:paraId="3245942F" w14:textId="77777777" w:rsidTr="00F62DC1">
        <w:trPr>
          <w:trHeight w:val="489"/>
          <w:jc w:val="center"/>
        </w:trPr>
        <w:tc>
          <w:tcPr>
            <w:tcW w:w="3510" w:type="dxa"/>
          </w:tcPr>
          <w:p w14:paraId="2554EC94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bCs/>
                <w:sz w:val="24"/>
                <w:szCs w:val="24"/>
              </w:rPr>
              <w:t>TG X NAR</w:t>
            </w:r>
          </w:p>
        </w:tc>
        <w:tc>
          <w:tcPr>
            <w:tcW w:w="1080" w:type="dxa"/>
          </w:tcPr>
          <w:p w14:paraId="4604B6F1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DEB18D6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080" w:type="dxa"/>
          </w:tcPr>
          <w:p w14:paraId="7F24A90C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027" w:type="dxa"/>
          </w:tcPr>
          <w:p w14:paraId="3C76335C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1027" w:type="dxa"/>
          </w:tcPr>
          <w:p w14:paraId="1D9D2FF5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</w:tr>
      <w:tr w:rsidR="00AB72CC" w:rsidRPr="00194A07" w14:paraId="336CF911" w14:textId="77777777" w:rsidTr="00F62DC1">
        <w:trPr>
          <w:trHeight w:val="489"/>
          <w:jc w:val="center"/>
        </w:trPr>
        <w:tc>
          <w:tcPr>
            <w:tcW w:w="3510" w:type="dxa"/>
          </w:tcPr>
          <w:p w14:paraId="3252A22C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bCs/>
                <w:sz w:val="24"/>
                <w:szCs w:val="24"/>
              </w:rPr>
              <w:t>SEV x NAR</w:t>
            </w:r>
          </w:p>
        </w:tc>
        <w:tc>
          <w:tcPr>
            <w:tcW w:w="1080" w:type="dxa"/>
          </w:tcPr>
          <w:p w14:paraId="27243652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344B471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080" w:type="dxa"/>
          </w:tcPr>
          <w:p w14:paraId="6DCB25EB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027" w:type="dxa"/>
          </w:tcPr>
          <w:p w14:paraId="257AA487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0.056</w:t>
            </w:r>
          </w:p>
        </w:tc>
        <w:tc>
          <w:tcPr>
            <w:tcW w:w="1027" w:type="dxa"/>
          </w:tcPr>
          <w:p w14:paraId="6D06A821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72CC" w:rsidRPr="00194A07" w14:paraId="4BEC5F51" w14:textId="77777777" w:rsidTr="00F62DC1">
        <w:trPr>
          <w:trHeight w:val="489"/>
          <w:jc w:val="center"/>
        </w:trPr>
        <w:tc>
          <w:tcPr>
            <w:tcW w:w="3510" w:type="dxa"/>
          </w:tcPr>
          <w:p w14:paraId="769BDD69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bCs/>
                <w:sz w:val="24"/>
                <w:szCs w:val="24"/>
              </w:rPr>
              <w:t>TG X SEV x NAR</w:t>
            </w:r>
          </w:p>
        </w:tc>
        <w:tc>
          <w:tcPr>
            <w:tcW w:w="1080" w:type="dxa"/>
          </w:tcPr>
          <w:p w14:paraId="5489F5FC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BAEB3AA" w14:textId="77777777" w:rsidR="00AB72CC" w:rsidRPr="00194A07" w:rsidRDefault="00AB72CC" w:rsidP="00F62D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080" w:type="dxa"/>
          </w:tcPr>
          <w:p w14:paraId="082F68E9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027" w:type="dxa"/>
          </w:tcPr>
          <w:p w14:paraId="1DD8788E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07">
              <w:rPr>
                <w:rFonts w:ascii="Times New Roman" w:eastAsia="Times New Roman" w:hAnsi="Times New Roman"/>
                <w:sz w:val="24"/>
                <w:szCs w:val="24"/>
              </w:rPr>
              <w:t>0.441</w:t>
            </w:r>
          </w:p>
        </w:tc>
        <w:tc>
          <w:tcPr>
            <w:tcW w:w="1027" w:type="dxa"/>
          </w:tcPr>
          <w:p w14:paraId="1495A51F" w14:textId="77777777" w:rsidR="00AB72CC" w:rsidRPr="00194A07" w:rsidRDefault="00AB72CC" w:rsidP="00F6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6118416" w14:textId="77777777" w:rsidR="00AB72CC" w:rsidRPr="00194A07" w:rsidRDefault="00AB72CC" w:rsidP="00AB7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51BC8" w14:textId="0D673830" w:rsidR="00AB72CC" w:rsidRPr="00194A07" w:rsidRDefault="00AB72CC" w:rsidP="00AB72C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94A07">
        <w:rPr>
          <w:rFonts w:ascii="Times New Roman" w:hAnsi="Times New Roman"/>
          <w:sz w:val="24"/>
          <w:szCs w:val="24"/>
        </w:rPr>
        <w:t xml:space="preserve">Parochial empathy in ID-post participants mirrored the effects of parochial empathy in ID-pre participants for all 4 hypotheses in Experiment </w:t>
      </w:r>
      <w:r w:rsidR="00867EC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194A07">
        <w:rPr>
          <w:rFonts w:ascii="Times New Roman" w:hAnsi="Times New Roman"/>
          <w:sz w:val="24"/>
          <w:szCs w:val="24"/>
        </w:rPr>
        <w:t>. For ID-post participants, there was a main effect for group that was characterized by parochialism: higher empathy for in-group (</w:t>
      </w:r>
      <w:r w:rsidRPr="00194A07">
        <w:rPr>
          <w:rFonts w:ascii="Times New Roman" w:hAnsi="Times New Roman"/>
          <w:i/>
          <w:sz w:val="24"/>
          <w:szCs w:val="24"/>
        </w:rPr>
        <w:t>M</w:t>
      </w:r>
      <w:r w:rsidRPr="00194A07">
        <w:rPr>
          <w:rFonts w:ascii="Times New Roman" w:hAnsi="Times New Roman"/>
          <w:sz w:val="24"/>
          <w:szCs w:val="24"/>
        </w:rPr>
        <w:t xml:space="preserve">=68.0, </w:t>
      </w:r>
      <w:r w:rsidRPr="00194A07">
        <w:rPr>
          <w:rFonts w:ascii="Times New Roman" w:hAnsi="Times New Roman"/>
          <w:i/>
          <w:sz w:val="24"/>
          <w:szCs w:val="24"/>
        </w:rPr>
        <w:t>SD</w:t>
      </w:r>
      <w:r w:rsidRPr="00194A07">
        <w:rPr>
          <w:rFonts w:ascii="Times New Roman" w:hAnsi="Times New Roman"/>
          <w:sz w:val="24"/>
          <w:szCs w:val="24"/>
        </w:rPr>
        <w:t>=18.6) than out-group (</w:t>
      </w:r>
      <w:r w:rsidRPr="00194A07">
        <w:rPr>
          <w:rFonts w:ascii="Times New Roman" w:hAnsi="Times New Roman"/>
          <w:i/>
          <w:sz w:val="24"/>
          <w:szCs w:val="24"/>
        </w:rPr>
        <w:t>M</w:t>
      </w:r>
      <w:r w:rsidRPr="00194A07">
        <w:rPr>
          <w:rFonts w:ascii="Times New Roman" w:hAnsi="Times New Roman"/>
          <w:sz w:val="24"/>
          <w:szCs w:val="24"/>
        </w:rPr>
        <w:t xml:space="preserve">=63.4, </w:t>
      </w:r>
      <w:r w:rsidRPr="00194A07">
        <w:rPr>
          <w:rFonts w:ascii="Times New Roman" w:hAnsi="Times New Roman"/>
          <w:i/>
          <w:sz w:val="24"/>
          <w:szCs w:val="24"/>
        </w:rPr>
        <w:t>SD</w:t>
      </w:r>
      <w:r w:rsidRPr="00194A07">
        <w:rPr>
          <w:rFonts w:ascii="Times New Roman" w:hAnsi="Times New Roman"/>
          <w:sz w:val="24"/>
          <w:szCs w:val="24"/>
        </w:rPr>
        <w:t>=18.2) (Hypothesis 1). There was a significant group x narrative interaction, such that empathy in the event-only conditions was higher for in-group (</w:t>
      </w:r>
      <w:r w:rsidRPr="00194A07">
        <w:rPr>
          <w:rFonts w:ascii="Times New Roman" w:hAnsi="Times New Roman"/>
          <w:i/>
          <w:sz w:val="24"/>
          <w:szCs w:val="24"/>
        </w:rPr>
        <w:t>M</w:t>
      </w:r>
      <w:r w:rsidRPr="00194A07">
        <w:rPr>
          <w:rFonts w:ascii="Times New Roman" w:hAnsi="Times New Roman"/>
          <w:sz w:val="24"/>
          <w:szCs w:val="24"/>
        </w:rPr>
        <w:t xml:space="preserve">=70.6, </w:t>
      </w:r>
      <w:r w:rsidRPr="00194A07">
        <w:rPr>
          <w:rFonts w:ascii="Times New Roman" w:hAnsi="Times New Roman"/>
          <w:i/>
          <w:sz w:val="24"/>
          <w:szCs w:val="24"/>
        </w:rPr>
        <w:t>SD</w:t>
      </w:r>
      <w:r w:rsidRPr="00194A07">
        <w:rPr>
          <w:rFonts w:ascii="Times New Roman" w:hAnsi="Times New Roman"/>
          <w:sz w:val="24"/>
          <w:szCs w:val="24"/>
        </w:rPr>
        <w:t>=18.9) than out-group (</w:t>
      </w:r>
      <w:r w:rsidRPr="00194A07">
        <w:rPr>
          <w:rFonts w:ascii="Times New Roman" w:hAnsi="Times New Roman"/>
          <w:i/>
          <w:sz w:val="24"/>
          <w:szCs w:val="24"/>
        </w:rPr>
        <w:t>M</w:t>
      </w:r>
      <w:r w:rsidRPr="00194A07">
        <w:rPr>
          <w:rFonts w:ascii="Times New Roman" w:hAnsi="Times New Roman"/>
          <w:sz w:val="24"/>
          <w:szCs w:val="24"/>
        </w:rPr>
        <w:t xml:space="preserve">=63.7, </w:t>
      </w:r>
      <w:r w:rsidRPr="00194A07">
        <w:rPr>
          <w:rFonts w:ascii="Times New Roman" w:hAnsi="Times New Roman"/>
          <w:i/>
          <w:sz w:val="24"/>
          <w:szCs w:val="24"/>
        </w:rPr>
        <w:t>SD</w:t>
      </w:r>
      <w:r w:rsidRPr="00194A07">
        <w:rPr>
          <w:rFonts w:ascii="Times New Roman" w:hAnsi="Times New Roman"/>
          <w:sz w:val="24"/>
          <w:szCs w:val="24"/>
        </w:rPr>
        <w:t xml:space="preserve">=18.9), but in the </w:t>
      </w:r>
      <w:proofErr w:type="spellStart"/>
      <w:r w:rsidRPr="00194A07">
        <w:rPr>
          <w:rFonts w:ascii="Times New Roman" w:hAnsi="Times New Roman"/>
          <w:sz w:val="24"/>
          <w:szCs w:val="24"/>
        </w:rPr>
        <w:t>event+narrative</w:t>
      </w:r>
      <w:proofErr w:type="spellEnd"/>
      <w:r w:rsidRPr="00194A07">
        <w:rPr>
          <w:rFonts w:ascii="Times New Roman" w:hAnsi="Times New Roman"/>
          <w:sz w:val="24"/>
          <w:szCs w:val="24"/>
        </w:rPr>
        <w:t xml:space="preserve"> condition empathy was similar for in-group (</w:t>
      </w:r>
      <w:r w:rsidRPr="00194A07">
        <w:rPr>
          <w:rFonts w:ascii="Times New Roman" w:hAnsi="Times New Roman"/>
          <w:i/>
          <w:sz w:val="24"/>
          <w:szCs w:val="24"/>
        </w:rPr>
        <w:t>M</w:t>
      </w:r>
      <w:r w:rsidRPr="00194A07">
        <w:rPr>
          <w:rFonts w:ascii="Times New Roman" w:hAnsi="Times New Roman"/>
          <w:sz w:val="24"/>
          <w:szCs w:val="24"/>
        </w:rPr>
        <w:t xml:space="preserve">=65.3, </w:t>
      </w:r>
      <w:r w:rsidRPr="00194A07">
        <w:rPr>
          <w:rFonts w:ascii="Times New Roman" w:hAnsi="Times New Roman"/>
          <w:i/>
          <w:sz w:val="24"/>
          <w:szCs w:val="24"/>
        </w:rPr>
        <w:t>SD</w:t>
      </w:r>
      <w:r w:rsidRPr="00194A07">
        <w:rPr>
          <w:rFonts w:ascii="Times New Roman" w:hAnsi="Times New Roman"/>
          <w:sz w:val="24"/>
          <w:szCs w:val="24"/>
        </w:rPr>
        <w:t>=17.9) and out-group (</w:t>
      </w:r>
      <w:r w:rsidRPr="00194A07">
        <w:rPr>
          <w:rFonts w:ascii="Times New Roman" w:hAnsi="Times New Roman"/>
          <w:i/>
          <w:sz w:val="24"/>
          <w:szCs w:val="24"/>
        </w:rPr>
        <w:t>M</w:t>
      </w:r>
      <w:r w:rsidRPr="00194A07">
        <w:rPr>
          <w:rFonts w:ascii="Times New Roman" w:hAnsi="Times New Roman"/>
          <w:sz w:val="24"/>
          <w:szCs w:val="24"/>
        </w:rPr>
        <w:t xml:space="preserve">=63.0, </w:t>
      </w:r>
      <w:r w:rsidRPr="00194A07">
        <w:rPr>
          <w:rFonts w:ascii="Times New Roman" w:hAnsi="Times New Roman"/>
          <w:i/>
          <w:sz w:val="24"/>
          <w:szCs w:val="24"/>
        </w:rPr>
        <w:t>SD</w:t>
      </w:r>
      <w:r w:rsidRPr="00194A07">
        <w:rPr>
          <w:rFonts w:ascii="Times New Roman" w:hAnsi="Times New Roman"/>
          <w:sz w:val="24"/>
          <w:szCs w:val="24"/>
        </w:rPr>
        <w:t>=17.4) (Hypothesis 2). There was a main effect of extremity (Hypothesis 3), which did not interact with target group (Hypothesis 4).</w:t>
      </w:r>
    </w:p>
    <w:p w14:paraId="44078EB0" w14:textId="77777777" w:rsidR="00AB72CC" w:rsidRPr="00194A07" w:rsidRDefault="00AB72CC" w:rsidP="00AB7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F9D744" w14:textId="77777777" w:rsidR="00A378F1" w:rsidRDefault="00A378F1"/>
    <w:sectPr w:rsidR="00A378F1" w:rsidSect="00366F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CC"/>
    <w:rsid w:val="00034BFA"/>
    <w:rsid w:val="00366F2E"/>
    <w:rsid w:val="00867EC5"/>
    <w:rsid w:val="00A378F1"/>
    <w:rsid w:val="00AB72CC"/>
    <w:rsid w:val="00E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8F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MITSaxelab</dc:creator>
  <cp:keywords/>
  <dc:description/>
  <cp:lastModifiedBy>MITSaxelab</cp:lastModifiedBy>
  <cp:revision>2</cp:revision>
  <dcterms:created xsi:type="dcterms:W3CDTF">2015-10-04T15:34:00Z</dcterms:created>
  <dcterms:modified xsi:type="dcterms:W3CDTF">2015-10-04T15:34:00Z</dcterms:modified>
</cp:coreProperties>
</file>