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C5" w:rsidRPr="00F809DE" w:rsidRDefault="00E961C5" w:rsidP="00E961C5">
      <w:pPr>
        <w:pStyle w:val="Caption"/>
        <w:keepNext/>
        <w:rPr>
          <w:color w:val="auto"/>
          <w:sz w:val="22"/>
          <w:szCs w:val="22"/>
        </w:rPr>
      </w:pPr>
      <w:r w:rsidRPr="00F809DE">
        <w:rPr>
          <w:color w:val="auto"/>
          <w:sz w:val="22"/>
          <w:szCs w:val="22"/>
        </w:rPr>
        <w:t>Supplemental Table 2</w:t>
      </w:r>
      <w:r w:rsidRPr="00F809DE">
        <w:rPr>
          <w:rFonts w:cs="Courier New"/>
          <w:b w:val="0"/>
          <w:color w:val="auto"/>
          <w:sz w:val="22"/>
          <w:szCs w:val="22"/>
        </w:rPr>
        <w:t xml:space="preserve"> Risk of all-cause mortality associated with MiRNA levels at study entry</w:t>
      </w:r>
      <w:bookmarkStart w:id="0" w:name="_GoBack"/>
      <w:bookmarkEnd w:id="0"/>
    </w:p>
    <w:tbl>
      <w:tblPr>
        <w:tblStyle w:val="LightShading"/>
        <w:tblW w:w="15168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851"/>
        <w:gridCol w:w="850"/>
        <w:gridCol w:w="851"/>
        <w:gridCol w:w="1139"/>
        <w:gridCol w:w="845"/>
        <w:gridCol w:w="851"/>
        <w:gridCol w:w="850"/>
        <w:gridCol w:w="851"/>
        <w:gridCol w:w="850"/>
        <w:gridCol w:w="1270"/>
        <w:gridCol w:w="1565"/>
        <w:gridCol w:w="284"/>
        <w:gridCol w:w="850"/>
      </w:tblGrid>
      <w:tr w:rsidR="00E961C5" w:rsidRPr="00FE7F36" w:rsidTr="00E3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MiRNA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Analysis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&lt;25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 xml:space="preserve">th 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percentile</w:t>
            </w:r>
          </w:p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US"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25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-49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percentile</w:t>
            </w:r>
          </w:p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OR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  <w:t>50</w:t>
            </w:r>
            <w:r w:rsidRPr="00283403">
              <w:rPr>
                <w:rFonts w:eastAsia="Times New Roman" w:cs="Times New Roman"/>
                <w:bCs w:val="0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 w:rsidRPr="00283403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  <w:t>-74</w:t>
            </w:r>
            <w:r w:rsidRPr="00283403">
              <w:rPr>
                <w:rFonts w:eastAsia="Times New Roman" w:cs="Times New Roman"/>
                <w:bCs w:val="0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</w:p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  <w:t>percentile</w:t>
            </w:r>
          </w:p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OR2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≥75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 xml:space="preserve"> percentile</w:t>
            </w:r>
          </w:p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OR4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  <w:t>p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OR associated with one IQR higher miRNA level</w:t>
            </w:r>
          </w:p>
        </w:tc>
        <w:tc>
          <w:tcPr>
            <w:tcW w:w="1849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ind w:left="-533" w:firstLine="5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p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29/62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49/61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19/62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29/61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tabs>
                <w:tab w:val="left" w:pos="1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1.67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0.087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ind w:left="-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0  0.241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0.948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0.92 (0.76, 1.12)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0.39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0.334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0.59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0.203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0.89 (0.71, 1.11)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0.289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M7e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32/64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37/59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24/63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32/59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0.436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0.744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0.98 (0.81, 1.18)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0.823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0.952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0.067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0.854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0.92 (0.74, 1.14)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0.444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 xml:space="preserve">M21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37/61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28/62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24/61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0.93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0.821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0.299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0.158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 (0.69, 1.04)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0.105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0.767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0.58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0.149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0.293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 (0.66, 1.06)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0.143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 xml:space="preserve">M24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40/63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30/61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22/61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0.481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0.584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0.57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0.089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0.85 (0.70, 1.04)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0.122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0.573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0.024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0.78 (0.62, 0.99)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0.043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40/61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38/62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14/61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33/62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0.663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0.004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0.37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 (0.70, 1.05)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0.134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0.51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0.006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0.489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0.88 (0.70, 1.12)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0.297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29/62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31/61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29/62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37/61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1.06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0.863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0.933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0.388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1.08 (0.90, 1.30)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0.424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0.386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0.609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0.372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1.05 (0.85, 1.29)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0.656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M145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21/62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43/61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27/61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2.38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0.012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0.112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0.387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(0.85, 1.26)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0.739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2.55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1.59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0.237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0.66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0.99 (0.78, 1.26)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0.943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M200a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34/55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36/54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22/54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24/55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0.655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0.159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0.279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 (0.69, 1.07)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0.17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0.601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0.432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0.412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0.88 (0.68, 1.16)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0.371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M150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27/62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36/61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26/62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1.45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0.242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0.313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0.848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0.98 (0.79, 1.21)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0.844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1.52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0.256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1.22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0.594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0.841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0.95 (0.74, 1.22)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0.705</w:t>
            </w: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M221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22/62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37/62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39/60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27/62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1C5" w:rsidRPr="00FE7F36" w:rsidTr="00E37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Univariate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2.38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0.012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1.72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0.112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1.34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0.387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1.03 (0.85, 1.26)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0.739</w:t>
            </w:r>
          </w:p>
        </w:tc>
      </w:tr>
      <w:tr w:rsidR="00E961C5" w:rsidRPr="00FE7F36" w:rsidTr="00E3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val="en-US" w:eastAsia="en-AU"/>
              </w:rPr>
              <w:t>Adjusted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2.05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0.075</w:t>
            </w:r>
          </w:p>
        </w:tc>
        <w:tc>
          <w:tcPr>
            <w:tcW w:w="1139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2.29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i/>
                <w:color w:val="000000"/>
                <w:sz w:val="18"/>
                <w:szCs w:val="18"/>
                <w:lang w:eastAsia="en-AU"/>
              </w:rPr>
              <w:t>0.039</w:t>
            </w:r>
          </w:p>
        </w:tc>
        <w:tc>
          <w:tcPr>
            <w:tcW w:w="850" w:type="dxa"/>
            <w:shd w:val="clear" w:color="auto" w:fill="FFFFFF" w:themeFill="background1"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0.868</w:t>
            </w:r>
          </w:p>
        </w:tc>
        <w:tc>
          <w:tcPr>
            <w:tcW w:w="1270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65" w:type="dxa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1.02 (0.81, 1.29)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hideMark/>
          </w:tcPr>
          <w:p w:rsidR="00E961C5" w:rsidRPr="00283403" w:rsidRDefault="00E961C5" w:rsidP="00E3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  <w:r w:rsidRPr="00283403"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  <w:t>0.866</w:t>
            </w:r>
          </w:p>
        </w:tc>
      </w:tr>
    </w:tbl>
    <w:p w:rsidR="00E961C5" w:rsidRPr="00283403" w:rsidRDefault="00E961C5" w:rsidP="00E961C5">
      <w:pPr>
        <w:rPr>
          <w:rFonts w:cs="Courier New"/>
        </w:rPr>
      </w:pPr>
      <w:r>
        <w:rPr>
          <w:rFonts w:cs="Courier New"/>
        </w:rPr>
        <w:t>Cut-offs used based on quartiles in controls. Adjusted analyses also adjusted for age, race, CD4+ T cell count, ART and HIV status, prior AIDS, HBV, HCV, prior diabetes, blood pressure lowering treatment, lipid lowering treatment, prior CVD.</w:t>
      </w:r>
    </w:p>
    <w:p w:rsidR="00F53493" w:rsidRDefault="00F53493"/>
    <w:sectPr w:rsidR="00F53493" w:rsidSect="00E96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C5"/>
    <w:rsid w:val="00E961C5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61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E961C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61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E961C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2015-09-27T09:40:00Z</dcterms:created>
  <dcterms:modified xsi:type="dcterms:W3CDTF">2015-09-27T09:41:00Z</dcterms:modified>
</cp:coreProperties>
</file>