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05" w:rsidRDefault="00B77005" w:rsidP="00B77005">
      <w:r w:rsidRPr="003572C9">
        <w:rPr>
          <w:b/>
        </w:rPr>
        <w:t>Table 4</w:t>
      </w:r>
      <w:r>
        <w:rPr>
          <w:b/>
        </w:rPr>
        <w:t>a</w:t>
      </w:r>
      <w:r w:rsidRPr="003572C9">
        <w:rPr>
          <w:b/>
        </w:rPr>
        <w:t xml:space="preserve">: </w:t>
      </w:r>
      <w:r>
        <w:rPr>
          <w:b/>
        </w:rPr>
        <w:t>C</w:t>
      </w:r>
      <w:r w:rsidRPr="003572C9">
        <w:rPr>
          <w:b/>
        </w:rPr>
        <w:t>hange from baseline to post-</w:t>
      </w:r>
      <w:r>
        <w:rPr>
          <w:b/>
        </w:rPr>
        <w:t>treatment</w:t>
      </w:r>
      <w:r w:rsidRPr="003572C9">
        <w:rPr>
          <w:b/>
        </w:rPr>
        <w:t xml:space="preserve"> (8 weeks) and </w:t>
      </w:r>
      <w:r>
        <w:rPr>
          <w:b/>
        </w:rPr>
        <w:t>baseline to</w:t>
      </w:r>
      <w:r w:rsidRPr="003572C9">
        <w:rPr>
          <w:b/>
        </w:rPr>
        <w:t xml:space="preserve"> follow-up (</w:t>
      </w:r>
      <w:r>
        <w:rPr>
          <w:b/>
        </w:rPr>
        <w:t>12 weeks</w:t>
      </w:r>
      <w:r w:rsidRPr="003572C9">
        <w:rPr>
          <w:b/>
        </w:rPr>
        <w:t>)</w:t>
      </w:r>
      <w:r>
        <w:t xml:space="preserve"> for outcomes of speed, symmetry (step length and single support duration), and time to turn 180 degrees. For all measures apart from time to turn and symmetry ratios positive values indicate improvement. For time to turn negative values indicate reduced time to turn and improvement. Symmetry ratios are calculated by dividing the larger of the paretic or non-paretic value (step length or single support time) by the smaller (in accordance with recommendations (Patterson et al, 2010)). Thus a value of 1 represents symmetrical gait and &gt;1 is increasingly asymmetrical.  Mean changes with negative values therefore indicate improvements towards a more symmetrical gait.</w:t>
      </w:r>
    </w:p>
    <w:tbl>
      <w:tblPr>
        <w:tblW w:w="9648" w:type="dxa"/>
        <w:tblCellMar>
          <w:left w:w="0" w:type="dxa"/>
          <w:right w:w="0" w:type="dxa"/>
        </w:tblCellMar>
        <w:tblLook w:val="04A0" w:firstRow="1" w:lastRow="0" w:firstColumn="1" w:lastColumn="0" w:noHBand="0" w:noVBand="1"/>
      </w:tblPr>
      <w:tblGrid>
        <w:gridCol w:w="1292"/>
        <w:gridCol w:w="2484"/>
        <w:gridCol w:w="1959"/>
        <w:gridCol w:w="2019"/>
        <w:gridCol w:w="1894"/>
      </w:tblGrid>
      <w:tr w:rsidR="00811739" w:rsidRPr="00162C3A" w:rsidTr="00F91F68">
        <w:trPr>
          <w:trHeight w:val="399"/>
        </w:trPr>
        <w:tc>
          <w:tcPr>
            <w:tcW w:w="1188" w:type="dxa"/>
            <w:tcBorders>
              <w:top w:val="single" w:sz="8" w:space="0" w:color="auto"/>
              <w:left w:val="single" w:sz="8" w:space="0" w:color="auto"/>
              <w:bottom w:val="single" w:sz="12" w:space="0" w:color="auto"/>
              <w:right w:val="single" w:sz="8" w:space="0" w:color="auto"/>
            </w:tcBorders>
            <w:shd w:val="clear" w:color="auto" w:fill="FFFFFF"/>
            <w:tcMar>
              <w:top w:w="0" w:type="dxa"/>
              <w:left w:w="108" w:type="dxa"/>
              <w:bottom w:w="0" w:type="dxa"/>
              <w:right w:w="108" w:type="dxa"/>
            </w:tcMar>
            <w:vAlign w:val="center"/>
            <w:hideMark/>
          </w:tcPr>
          <w:p w:rsidR="00811739" w:rsidRPr="005420E7" w:rsidRDefault="00811739" w:rsidP="00F91F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Change from Baseline Assessment</w:t>
            </w:r>
          </w:p>
        </w:tc>
        <w:tc>
          <w:tcPr>
            <w:tcW w:w="2520"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811739" w:rsidRPr="005420E7" w:rsidRDefault="00811739" w:rsidP="00F91F68">
            <w:pPr>
              <w:spacing w:before="100" w:beforeAutospacing="1" w:after="100" w:afterAutospacing="1"/>
              <w:jc w:val="center"/>
              <w:rPr>
                <w:rFonts w:ascii="Times New Roman" w:eastAsia="Times New Roman" w:hAnsi="Times New Roman" w:cs="Times New Roman"/>
                <w:b/>
              </w:rPr>
            </w:pPr>
            <w:r w:rsidRPr="005420E7">
              <w:rPr>
                <w:rFonts w:ascii="Times New Roman" w:eastAsia="Times New Roman" w:hAnsi="Times New Roman" w:cs="Times New Roman"/>
                <w:b/>
                <w:bCs/>
              </w:rPr>
              <w:t>Outcome measure</w:t>
            </w:r>
          </w:p>
        </w:tc>
        <w:tc>
          <w:tcPr>
            <w:tcW w:w="1980"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811739" w:rsidRDefault="00811739" w:rsidP="00F91F68">
            <w:pPr>
              <w:spacing w:before="100" w:beforeAutospacing="1" w:after="100" w:afterAutospacing="1" w:line="240" w:lineRule="auto"/>
              <w:contextualSpacing/>
              <w:jc w:val="center"/>
              <w:rPr>
                <w:rFonts w:ascii="Times New Roman" w:eastAsia="Times New Roman" w:hAnsi="Times New Roman" w:cs="Times New Roman"/>
                <w:b/>
                <w:bCs/>
              </w:rPr>
            </w:pPr>
            <w:r w:rsidRPr="005420E7">
              <w:rPr>
                <w:rFonts w:ascii="Times New Roman" w:eastAsia="Times New Roman" w:hAnsi="Times New Roman" w:cs="Times New Roman"/>
                <w:b/>
                <w:bCs/>
              </w:rPr>
              <w:t>Treadmill VCT</w:t>
            </w:r>
          </w:p>
          <w:p w:rsidR="00811739" w:rsidRPr="005420E7" w:rsidRDefault="00811739" w:rsidP="00F91F68">
            <w:pPr>
              <w:spacing w:before="100" w:beforeAutospacing="1" w:after="100" w:afterAutospacing="1" w:line="240" w:lineRule="auto"/>
              <w:contextualSpacing/>
              <w:jc w:val="center"/>
              <w:rPr>
                <w:rFonts w:ascii="Times New Roman" w:eastAsia="Times New Roman" w:hAnsi="Times New Roman" w:cs="Times New Roman"/>
                <w:i/>
              </w:rPr>
            </w:pPr>
            <w:r w:rsidRPr="005420E7">
              <w:rPr>
                <w:rFonts w:ascii="Times New Roman" w:eastAsia="Times New Roman" w:hAnsi="Times New Roman" w:cs="Times New Roman"/>
                <w:bCs/>
              </w:rPr>
              <w:t>Mean</w:t>
            </w:r>
            <w:r>
              <w:rPr>
                <w:rFonts w:ascii="Times New Roman" w:eastAsia="Times New Roman" w:hAnsi="Times New Roman" w:cs="Times New Roman"/>
                <w:bCs/>
              </w:rPr>
              <w:t xml:space="preserve"> [SD]</w:t>
            </w:r>
          </w:p>
        </w:tc>
        <w:tc>
          <w:tcPr>
            <w:tcW w:w="2044"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811739" w:rsidRDefault="00811739" w:rsidP="00F91F68">
            <w:pPr>
              <w:spacing w:before="100" w:beforeAutospacing="1" w:after="100" w:afterAutospacing="1" w:line="240" w:lineRule="auto"/>
              <w:contextualSpacing/>
              <w:jc w:val="center"/>
              <w:rPr>
                <w:rFonts w:ascii="Times New Roman" w:eastAsia="Times New Roman" w:hAnsi="Times New Roman" w:cs="Times New Roman"/>
                <w:b/>
                <w:bCs/>
              </w:rPr>
            </w:pPr>
            <w:r w:rsidRPr="005420E7">
              <w:rPr>
                <w:rFonts w:ascii="Times New Roman" w:eastAsia="Times New Roman" w:hAnsi="Times New Roman" w:cs="Times New Roman"/>
                <w:b/>
                <w:bCs/>
              </w:rPr>
              <w:t>Over-ground VCT</w:t>
            </w:r>
          </w:p>
          <w:p w:rsidR="00811739" w:rsidRPr="005420E7" w:rsidRDefault="00811739" w:rsidP="00F91F68">
            <w:pPr>
              <w:spacing w:before="100" w:beforeAutospacing="1" w:after="100" w:afterAutospacing="1" w:line="240" w:lineRule="auto"/>
              <w:contextualSpacing/>
              <w:jc w:val="center"/>
              <w:rPr>
                <w:rFonts w:ascii="Times New Roman" w:eastAsia="Times New Roman" w:hAnsi="Times New Roman" w:cs="Times New Roman"/>
                <w:b/>
              </w:rPr>
            </w:pPr>
            <w:r w:rsidRPr="005420E7">
              <w:rPr>
                <w:rFonts w:ascii="Times New Roman" w:eastAsia="Times New Roman" w:hAnsi="Times New Roman" w:cs="Times New Roman"/>
                <w:bCs/>
              </w:rPr>
              <w:t>Mean</w:t>
            </w:r>
            <w:r>
              <w:rPr>
                <w:rFonts w:ascii="Times New Roman" w:eastAsia="Times New Roman" w:hAnsi="Times New Roman" w:cs="Times New Roman"/>
                <w:bCs/>
              </w:rPr>
              <w:t xml:space="preserve"> [SD]</w:t>
            </w:r>
          </w:p>
        </w:tc>
        <w:tc>
          <w:tcPr>
            <w:tcW w:w="1916"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vAlign w:val="center"/>
            <w:hideMark/>
          </w:tcPr>
          <w:p w:rsidR="00811739" w:rsidRDefault="00811739" w:rsidP="00F91F68">
            <w:pPr>
              <w:spacing w:before="100" w:beforeAutospacing="1" w:after="100" w:afterAutospacing="1" w:line="240" w:lineRule="auto"/>
              <w:contextualSpacing/>
              <w:jc w:val="center"/>
              <w:rPr>
                <w:rFonts w:ascii="Times New Roman" w:eastAsia="Times New Roman" w:hAnsi="Times New Roman" w:cs="Times New Roman"/>
                <w:b/>
                <w:bCs/>
              </w:rPr>
            </w:pPr>
            <w:r w:rsidRPr="005420E7">
              <w:rPr>
                <w:rFonts w:ascii="Times New Roman" w:eastAsia="Times New Roman" w:hAnsi="Times New Roman" w:cs="Times New Roman"/>
                <w:b/>
                <w:bCs/>
              </w:rPr>
              <w:t>Usual care</w:t>
            </w:r>
          </w:p>
          <w:p w:rsidR="00811739" w:rsidRPr="005420E7" w:rsidRDefault="00811739" w:rsidP="00F91F68">
            <w:pPr>
              <w:spacing w:before="100" w:beforeAutospacing="1" w:after="100" w:afterAutospacing="1" w:line="240" w:lineRule="auto"/>
              <w:contextualSpacing/>
              <w:jc w:val="center"/>
              <w:rPr>
                <w:rFonts w:ascii="Times New Roman" w:eastAsia="Times New Roman" w:hAnsi="Times New Roman" w:cs="Times New Roman"/>
                <w:b/>
              </w:rPr>
            </w:pPr>
            <w:r w:rsidRPr="005420E7">
              <w:rPr>
                <w:rFonts w:ascii="Times New Roman" w:eastAsia="Times New Roman" w:hAnsi="Times New Roman" w:cs="Times New Roman"/>
                <w:bCs/>
              </w:rPr>
              <w:t>Mean</w:t>
            </w:r>
            <w:r>
              <w:rPr>
                <w:rFonts w:ascii="Times New Roman" w:eastAsia="Times New Roman" w:hAnsi="Times New Roman" w:cs="Times New Roman"/>
                <w:bCs/>
              </w:rPr>
              <w:t xml:space="preserve"> [SD]</w:t>
            </w:r>
          </w:p>
        </w:tc>
      </w:tr>
      <w:tr w:rsidR="00811739" w:rsidRPr="00162C3A" w:rsidTr="00F91F68">
        <w:trPr>
          <w:trHeight w:val="333"/>
        </w:trPr>
        <w:tc>
          <w:tcPr>
            <w:tcW w:w="118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739" w:rsidRPr="00BF414C" w:rsidRDefault="00811739" w:rsidP="00F91F68">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Post-treatment</w:t>
            </w:r>
          </w:p>
          <w:p w:rsidR="00811739" w:rsidRPr="00162C3A" w:rsidRDefault="00811739" w:rsidP="00F91F68">
            <w:pPr>
              <w:spacing w:after="0"/>
              <w:jc w:val="center"/>
              <w:rPr>
                <w:rFonts w:ascii="Times New Roman" w:eastAsia="Times New Roman" w:hAnsi="Times New Roman" w:cs="Times New Roman"/>
                <w:sz w:val="24"/>
                <w:szCs w:val="24"/>
              </w:rPr>
            </w:pPr>
          </w:p>
        </w:tc>
        <w:tc>
          <w:tcPr>
            <w:tcW w:w="252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after="0"/>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Gait speed(m/s)</w:t>
            </w:r>
          </w:p>
          <w:p w:rsidR="00811739" w:rsidRPr="00162C3A" w:rsidRDefault="00811739" w:rsidP="00F91F68">
            <w:pPr>
              <w:spacing w:after="0"/>
              <w:jc w:val="center"/>
              <w:rPr>
                <w:rFonts w:ascii="Times New Roman" w:eastAsia="Times New Roman" w:hAnsi="Times New Roman" w:cs="Times New Roman"/>
                <w:sz w:val="20"/>
                <w:szCs w:val="20"/>
              </w:rPr>
            </w:pPr>
          </w:p>
        </w:tc>
        <w:tc>
          <w:tcPr>
            <w:tcW w:w="198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pStyle w:val="NoSpacing"/>
              <w:spacing w:before="100" w:beforeAutospacing="1"/>
              <w:contextualSpacing/>
              <w:jc w:val="center"/>
              <w:rPr>
                <w:rFonts w:ascii="Times New Roman" w:hAnsi="Times New Roman"/>
                <w:szCs w:val="20"/>
              </w:rPr>
            </w:pPr>
            <w:r w:rsidRPr="00162C3A">
              <w:rPr>
                <w:rFonts w:ascii="Times New Roman" w:hAnsi="Times New Roman"/>
                <w:szCs w:val="20"/>
              </w:rPr>
              <w:t>0.19[0.15]</w:t>
            </w:r>
          </w:p>
          <w:p w:rsidR="00811739" w:rsidRPr="00162C3A" w:rsidRDefault="00811739" w:rsidP="00F91F68">
            <w:pPr>
              <w:pStyle w:val="NoSpacing"/>
              <w:spacing w:before="100" w:beforeAutospacing="1"/>
              <w:contextualSpacing/>
              <w:jc w:val="center"/>
              <w:rPr>
                <w:rFonts w:ascii="Times New Roman" w:hAnsi="Times New Roman"/>
                <w:szCs w:val="20"/>
              </w:rPr>
            </w:pPr>
          </w:p>
        </w:tc>
        <w:tc>
          <w:tcPr>
            <w:tcW w:w="20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spacing w:before="100" w:beforeAutospacing="1" w:after="0" w:line="240" w:lineRule="auto"/>
              <w:contextualSpacing/>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0.19[0.16]</w:t>
            </w:r>
          </w:p>
          <w:p w:rsidR="00811739" w:rsidRPr="005420E7" w:rsidRDefault="00811739" w:rsidP="00F91F68">
            <w:pPr>
              <w:spacing w:before="100" w:beforeAutospacing="1" w:after="0" w:line="240" w:lineRule="auto"/>
              <w:contextualSpacing/>
              <w:jc w:val="center"/>
              <w:rPr>
                <w:rFonts w:ascii="Times New Roman" w:eastAsia="Times New Roman" w:hAnsi="Times New Roman" w:cs="Times New Roman"/>
                <w:i/>
                <w:sz w:val="20"/>
                <w:szCs w:val="20"/>
              </w:rPr>
            </w:pPr>
          </w:p>
        </w:tc>
        <w:tc>
          <w:tcPr>
            <w:tcW w:w="191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spacing w:before="100" w:beforeAutospacing="1" w:after="0" w:line="240" w:lineRule="auto"/>
              <w:contextualSpacing/>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0.12[0.18]</w:t>
            </w:r>
          </w:p>
          <w:p w:rsidR="00811739" w:rsidRPr="005420E7" w:rsidRDefault="00811739" w:rsidP="00F91F68">
            <w:pPr>
              <w:spacing w:before="100" w:beforeAutospacing="1" w:after="0" w:line="240" w:lineRule="auto"/>
              <w:contextualSpacing/>
              <w:jc w:val="center"/>
              <w:rPr>
                <w:rFonts w:ascii="Times New Roman" w:eastAsia="Times New Roman" w:hAnsi="Times New Roman" w:cs="Times New Roman"/>
                <w:i/>
                <w:sz w:val="20"/>
                <w:szCs w:val="20"/>
              </w:rPr>
            </w:pPr>
          </w:p>
        </w:tc>
      </w:tr>
      <w:tr w:rsidR="00811739" w:rsidRPr="00162C3A" w:rsidTr="00F91F68">
        <w:trPr>
          <w:trHeight w:val="220"/>
        </w:trPr>
        <w:tc>
          <w:tcPr>
            <w:tcW w:w="1188" w:type="dxa"/>
            <w:vMerge/>
            <w:tcBorders>
              <w:top w:val="nil"/>
              <w:left w:val="single" w:sz="8" w:space="0" w:color="auto"/>
              <w:bottom w:val="single" w:sz="8"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before="100" w:beforeAutospacing="1" w:after="100" w:afterAutospacing="1"/>
              <w:jc w:val="center"/>
              <w:rPr>
                <w:rFonts w:ascii="Times New Roman" w:eastAsia="Times New Roman" w:hAnsi="Times New Roman" w:cs="Times New Roman"/>
                <w:sz w:val="20"/>
                <w:szCs w:val="20"/>
              </w:rPr>
            </w:pPr>
            <w:r w:rsidRPr="00723E6D">
              <w:rPr>
                <w:rFonts w:ascii="Times New Roman" w:eastAsia="Times New Roman" w:hAnsi="Times New Roman" w:cs="Times New Roman"/>
                <w:sz w:val="20"/>
                <w:szCs w:val="20"/>
              </w:rPr>
              <w:t xml:space="preserve">Symmetry ratio: </w:t>
            </w:r>
            <w:r w:rsidRPr="00162C3A">
              <w:rPr>
                <w:rFonts w:ascii="Times New Roman" w:eastAsia="Times New Roman" w:hAnsi="Times New Roman" w:cs="Times New Roman"/>
                <w:sz w:val="20"/>
                <w:szCs w:val="20"/>
              </w:rPr>
              <w:t>Step length(cm)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-0.4[0.8]</w:t>
            </w:r>
          </w:p>
          <w:p w:rsidR="00811739" w:rsidRPr="005420E7" w:rsidRDefault="00811739" w:rsidP="00F91F68">
            <w:pPr>
              <w:pStyle w:val="NoSpacing"/>
              <w:jc w:val="center"/>
              <w:rPr>
                <w:rFonts w:ascii="Times New Roman" w:hAnsi="Times New Roman"/>
                <w:i/>
                <w:szCs w:val="20"/>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-4.0[11.6]</w:t>
            </w:r>
          </w:p>
          <w:p w:rsidR="00811739" w:rsidRPr="005420E7" w:rsidRDefault="00811739" w:rsidP="00F91F68">
            <w:pPr>
              <w:pStyle w:val="NoSpacing"/>
              <w:jc w:val="center"/>
              <w:rPr>
                <w:rFonts w:ascii="Times New Roman" w:hAnsi="Times New Roman"/>
                <w:i/>
                <w:szCs w:val="20"/>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0.2[1.9]</w:t>
            </w:r>
          </w:p>
          <w:p w:rsidR="00811739" w:rsidRPr="005420E7" w:rsidRDefault="00811739" w:rsidP="00F91F68">
            <w:pPr>
              <w:pStyle w:val="NoSpacing"/>
              <w:jc w:val="center"/>
              <w:rPr>
                <w:rFonts w:ascii="Times New Roman" w:hAnsi="Times New Roman"/>
                <w:i/>
                <w:szCs w:val="20"/>
              </w:rPr>
            </w:pPr>
          </w:p>
        </w:tc>
      </w:tr>
      <w:tr w:rsidR="00811739" w:rsidRPr="00162C3A" w:rsidTr="00F91F68">
        <w:trPr>
          <w:trHeight w:val="220"/>
        </w:trPr>
        <w:tc>
          <w:tcPr>
            <w:tcW w:w="1188" w:type="dxa"/>
            <w:vMerge/>
            <w:tcBorders>
              <w:top w:val="nil"/>
              <w:left w:val="single" w:sz="8" w:space="0" w:color="auto"/>
              <w:bottom w:val="single" w:sz="8"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before="100" w:beforeAutospacing="1" w:after="100" w:afterAutospacing="1"/>
              <w:jc w:val="center"/>
              <w:rPr>
                <w:rFonts w:ascii="Times New Roman" w:eastAsia="Times New Roman" w:hAnsi="Times New Roman" w:cs="Times New Roman"/>
                <w:sz w:val="20"/>
                <w:szCs w:val="20"/>
              </w:rPr>
            </w:pPr>
            <w:r w:rsidRPr="00723E6D">
              <w:rPr>
                <w:rFonts w:ascii="Times New Roman" w:eastAsia="Times New Roman" w:hAnsi="Times New Roman" w:cs="Times New Roman"/>
                <w:sz w:val="20"/>
                <w:szCs w:val="20"/>
              </w:rPr>
              <w:t xml:space="preserve">Symmetry ratio: </w:t>
            </w:r>
            <w:r w:rsidRPr="00162C3A">
              <w:rPr>
                <w:rFonts w:ascii="Times New Roman" w:eastAsia="Times New Roman" w:hAnsi="Times New Roman" w:cs="Times New Roman"/>
                <w:sz w:val="20"/>
                <w:szCs w:val="20"/>
              </w:rPr>
              <w:t>Single support duration(s)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-0.5[0.6]</w:t>
            </w:r>
          </w:p>
          <w:p w:rsidR="00811739" w:rsidRPr="005420E7" w:rsidRDefault="00811739" w:rsidP="00F91F68">
            <w:pPr>
              <w:pStyle w:val="NoSpacing"/>
              <w:jc w:val="center"/>
              <w:rPr>
                <w:rFonts w:ascii="Times New Roman" w:hAnsi="Times New Roman"/>
                <w:i/>
                <w:szCs w:val="20"/>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-0.5[0.8]</w:t>
            </w:r>
          </w:p>
          <w:p w:rsidR="00811739" w:rsidRPr="005420E7" w:rsidRDefault="00811739" w:rsidP="00F91F68">
            <w:pPr>
              <w:pStyle w:val="NoSpacing"/>
              <w:jc w:val="center"/>
              <w:rPr>
                <w:rFonts w:ascii="Times New Roman" w:hAnsi="Times New Roman"/>
                <w:i/>
                <w:szCs w:val="20"/>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-0.2[0.7]</w:t>
            </w:r>
          </w:p>
          <w:p w:rsidR="00811739" w:rsidRPr="005420E7" w:rsidRDefault="00811739" w:rsidP="00F91F68">
            <w:pPr>
              <w:pStyle w:val="NoSpacing"/>
              <w:jc w:val="center"/>
              <w:rPr>
                <w:rFonts w:ascii="Times New Roman" w:hAnsi="Times New Roman"/>
                <w:i/>
                <w:szCs w:val="20"/>
              </w:rPr>
            </w:pPr>
          </w:p>
        </w:tc>
      </w:tr>
      <w:tr w:rsidR="00811739" w:rsidRPr="00162C3A" w:rsidTr="00F91F68">
        <w:trPr>
          <w:trHeight w:val="220"/>
        </w:trPr>
        <w:tc>
          <w:tcPr>
            <w:tcW w:w="1188" w:type="dxa"/>
            <w:vMerge/>
            <w:tcBorders>
              <w:top w:val="nil"/>
              <w:left w:val="single" w:sz="8" w:space="0" w:color="auto"/>
              <w:bottom w:val="single" w:sz="12"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4"/>
                <w:szCs w:val="24"/>
              </w:rPr>
            </w:pPr>
          </w:p>
        </w:tc>
        <w:tc>
          <w:tcPr>
            <w:tcW w:w="252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11739" w:rsidRDefault="00811739" w:rsidP="00F91F68">
            <w:pPr>
              <w:spacing w:before="100" w:beforeAutospacing="1" w:after="100" w:afterAutospacing="1"/>
              <w:jc w:val="center"/>
              <w:rPr>
                <w:rFonts w:ascii="Times New Roman" w:eastAsia="Times New Roman" w:hAnsi="Times New Roman" w:cs="Times New Roman"/>
                <w:i/>
                <w:iCs/>
                <w:sz w:val="20"/>
                <w:szCs w:val="20"/>
              </w:rPr>
            </w:pPr>
            <w:r w:rsidRPr="00162C3A">
              <w:rPr>
                <w:rFonts w:ascii="Times New Roman" w:eastAsia="Times New Roman" w:hAnsi="Times New Roman" w:cs="Times New Roman"/>
                <w:sz w:val="20"/>
                <w:szCs w:val="20"/>
              </w:rPr>
              <w:t>Time to turn 180</w:t>
            </w:r>
            <w:r>
              <w:rPr>
                <w:rFonts w:ascii="Times New Roman" w:eastAsia="Times New Roman" w:hAnsi="Times New Roman" w:cs="Times New Roman"/>
                <w:sz w:val="20"/>
                <w:szCs w:val="20"/>
              </w:rPr>
              <w:t xml:space="preserve">° </w:t>
            </w:r>
            <w:r w:rsidRPr="00162C3A">
              <w:rPr>
                <w:rFonts w:ascii="Times New Roman" w:eastAsia="Times New Roman" w:hAnsi="Times New Roman" w:cs="Times New Roman"/>
                <w:sz w:val="20"/>
                <w:szCs w:val="20"/>
              </w:rPr>
              <w:t>(s)</w:t>
            </w:r>
            <w:r w:rsidRPr="00723E6D">
              <w:rPr>
                <w:rFonts w:ascii="Times New Roman" w:eastAsia="Times New Roman" w:hAnsi="Times New Roman" w:cs="Times New Roman"/>
                <w:sz w:val="20"/>
                <w:szCs w:val="20"/>
              </w:rPr>
              <w:t xml:space="preserve"> </w:t>
            </w:r>
            <w:r w:rsidRPr="00162C3A">
              <w:rPr>
                <w:rFonts w:ascii="Times New Roman" w:eastAsia="Times New Roman" w:hAnsi="Times New Roman" w:cs="Times New Roman"/>
                <w:i/>
                <w:iCs/>
                <w:sz w:val="20"/>
                <w:szCs w:val="20"/>
              </w:rPr>
              <w:t>Paretic side</w:t>
            </w:r>
          </w:p>
          <w:p w:rsidR="00811739" w:rsidRPr="00162C3A" w:rsidRDefault="00811739" w:rsidP="00F91F68">
            <w:pPr>
              <w:spacing w:before="100" w:beforeAutospacing="1" w:after="100" w:afterAutospacing="1" w:line="220" w:lineRule="atLeast"/>
              <w:jc w:val="center"/>
              <w:rPr>
                <w:rFonts w:ascii="Times New Roman" w:eastAsia="Times New Roman" w:hAnsi="Times New Roman" w:cs="Times New Roman"/>
                <w:sz w:val="20"/>
                <w:szCs w:val="20"/>
              </w:rPr>
            </w:pPr>
            <w:r w:rsidRPr="00162C3A">
              <w:rPr>
                <w:rFonts w:ascii="Times New Roman" w:eastAsia="Times New Roman" w:hAnsi="Times New Roman" w:cs="Times New Roman"/>
                <w:i/>
                <w:iCs/>
                <w:sz w:val="20"/>
                <w:szCs w:val="20"/>
              </w:rPr>
              <w:t>Non-paretic side</w:t>
            </w:r>
          </w:p>
        </w:tc>
        <w:tc>
          <w:tcPr>
            <w:tcW w:w="1980" w:type="dxa"/>
            <w:tcBorders>
              <w:top w:val="nil"/>
              <w:left w:val="nil"/>
              <w:bottom w:val="single" w:sz="12"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0.2[1.9]</w:t>
            </w:r>
          </w:p>
          <w:p w:rsidR="00811739"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0.4[2.2]</w:t>
            </w:r>
          </w:p>
          <w:p w:rsidR="00811739" w:rsidRPr="00723E6D" w:rsidRDefault="00811739" w:rsidP="00F91F68">
            <w:pPr>
              <w:pStyle w:val="NoSpacing"/>
              <w:jc w:val="center"/>
              <w:rPr>
                <w:rFonts w:ascii="Times New Roman" w:hAnsi="Times New Roman"/>
                <w:szCs w:val="20"/>
              </w:rPr>
            </w:pPr>
          </w:p>
        </w:tc>
        <w:tc>
          <w:tcPr>
            <w:tcW w:w="2044" w:type="dxa"/>
            <w:tcBorders>
              <w:top w:val="nil"/>
              <w:left w:val="nil"/>
              <w:bottom w:val="single" w:sz="12"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-0.9[2.6]</w:t>
            </w:r>
          </w:p>
          <w:p w:rsidR="00811739"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-1.4[2.4]</w:t>
            </w:r>
          </w:p>
          <w:p w:rsidR="00811739" w:rsidRPr="005420E7" w:rsidRDefault="00811739" w:rsidP="00F91F68">
            <w:pPr>
              <w:pStyle w:val="NoSpacing"/>
              <w:jc w:val="center"/>
              <w:rPr>
                <w:rFonts w:ascii="Times New Roman" w:hAnsi="Times New Roman"/>
                <w:i/>
                <w:szCs w:val="20"/>
              </w:rPr>
            </w:pPr>
          </w:p>
        </w:tc>
        <w:tc>
          <w:tcPr>
            <w:tcW w:w="1916" w:type="dxa"/>
            <w:tcBorders>
              <w:top w:val="nil"/>
              <w:left w:val="nil"/>
              <w:bottom w:val="single" w:sz="12"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-0.1[2.3]</w:t>
            </w:r>
          </w:p>
          <w:p w:rsidR="00811739"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-0.7[2.9]</w:t>
            </w:r>
          </w:p>
          <w:p w:rsidR="00811739" w:rsidRPr="005420E7" w:rsidRDefault="00811739" w:rsidP="00F91F68">
            <w:pPr>
              <w:pStyle w:val="NoSpacing"/>
              <w:jc w:val="center"/>
              <w:rPr>
                <w:rFonts w:ascii="Times New Roman" w:hAnsi="Times New Roman"/>
                <w:i/>
                <w:szCs w:val="20"/>
              </w:rPr>
            </w:pPr>
          </w:p>
        </w:tc>
      </w:tr>
      <w:tr w:rsidR="00811739" w:rsidRPr="00162C3A" w:rsidTr="00F91F68">
        <w:trPr>
          <w:trHeight w:val="295"/>
        </w:trPr>
        <w:tc>
          <w:tcPr>
            <w:tcW w:w="118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Follow-up</w:t>
            </w:r>
          </w:p>
          <w:p w:rsidR="00811739" w:rsidRPr="00162C3A" w:rsidRDefault="00811739" w:rsidP="00F91F68">
            <w:pPr>
              <w:spacing w:after="0"/>
              <w:jc w:val="center"/>
              <w:rPr>
                <w:rFonts w:ascii="Times New Roman" w:eastAsia="Times New Roman" w:hAnsi="Times New Roman" w:cs="Times New Roman"/>
                <w:sz w:val="20"/>
                <w:szCs w:val="20"/>
              </w:rPr>
            </w:pPr>
          </w:p>
          <w:p w:rsidR="00811739" w:rsidRPr="00162C3A" w:rsidRDefault="00811739" w:rsidP="00F91F68">
            <w:pPr>
              <w:spacing w:after="0"/>
              <w:jc w:val="center"/>
              <w:rPr>
                <w:rFonts w:ascii="Times New Roman" w:eastAsia="Times New Roman" w:hAnsi="Times New Roman" w:cs="Times New Roman"/>
                <w:sz w:val="20"/>
                <w:szCs w:val="20"/>
              </w:rPr>
            </w:pPr>
          </w:p>
        </w:tc>
        <w:tc>
          <w:tcPr>
            <w:tcW w:w="252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after="0"/>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Gait speed(m/s)</w:t>
            </w:r>
          </w:p>
          <w:p w:rsidR="00811739" w:rsidRPr="00162C3A" w:rsidRDefault="00811739" w:rsidP="00F91F68">
            <w:pPr>
              <w:spacing w:after="0"/>
              <w:jc w:val="center"/>
              <w:rPr>
                <w:rFonts w:ascii="Times New Roman" w:eastAsia="Times New Roman" w:hAnsi="Times New Roman" w:cs="Times New Roman"/>
                <w:sz w:val="20"/>
                <w:szCs w:val="20"/>
              </w:rPr>
            </w:pPr>
          </w:p>
        </w:tc>
        <w:tc>
          <w:tcPr>
            <w:tcW w:w="198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spacing w:after="0" w:line="240" w:lineRule="auto"/>
              <w:contextualSpacing/>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0.09[0.20]</w:t>
            </w:r>
          </w:p>
          <w:p w:rsidR="00811739" w:rsidRPr="005420E7" w:rsidRDefault="00811739" w:rsidP="00F91F68">
            <w:pPr>
              <w:spacing w:after="0" w:line="240" w:lineRule="auto"/>
              <w:contextualSpacing/>
              <w:jc w:val="center"/>
              <w:rPr>
                <w:rFonts w:ascii="Times New Roman" w:eastAsia="Times New Roman" w:hAnsi="Times New Roman" w:cs="Times New Roman"/>
                <w:i/>
                <w:sz w:val="20"/>
                <w:szCs w:val="20"/>
              </w:rPr>
            </w:pPr>
          </w:p>
        </w:tc>
        <w:tc>
          <w:tcPr>
            <w:tcW w:w="20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spacing w:after="0" w:line="240" w:lineRule="auto"/>
              <w:contextualSpacing/>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0.22[0.22]</w:t>
            </w:r>
          </w:p>
          <w:p w:rsidR="00811739" w:rsidRPr="005420E7" w:rsidRDefault="00811739" w:rsidP="00F91F68">
            <w:pPr>
              <w:spacing w:after="0" w:line="240" w:lineRule="auto"/>
              <w:contextualSpacing/>
              <w:jc w:val="center"/>
              <w:rPr>
                <w:rFonts w:ascii="Times New Roman" w:eastAsia="Times New Roman" w:hAnsi="Times New Roman" w:cs="Times New Roman"/>
                <w:i/>
                <w:sz w:val="20"/>
                <w:szCs w:val="20"/>
              </w:rPr>
            </w:pPr>
          </w:p>
        </w:tc>
        <w:tc>
          <w:tcPr>
            <w:tcW w:w="191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811739" w:rsidRDefault="00811739" w:rsidP="00F91F68">
            <w:pPr>
              <w:spacing w:after="0" w:line="240" w:lineRule="auto"/>
              <w:contextualSpacing/>
              <w:jc w:val="center"/>
              <w:rPr>
                <w:rFonts w:ascii="Times New Roman" w:eastAsia="Times New Roman" w:hAnsi="Times New Roman" w:cs="Times New Roman"/>
                <w:sz w:val="20"/>
                <w:szCs w:val="20"/>
              </w:rPr>
            </w:pPr>
            <w:r w:rsidRPr="00162C3A">
              <w:rPr>
                <w:rFonts w:ascii="Times New Roman" w:eastAsia="Times New Roman" w:hAnsi="Times New Roman" w:cs="Times New Roman"/>
                <w:sz w:val="20"/>
                <w:szCs w:val="20"/>
              </w:rPr>
              <w:t>0.16[0.15]</w:t>
            </w:r>
          </w:p>
          <w:p w:rsidR="00811739" w:rsidRPr="005420E7" w:rsidRDefault="00811739" w:rsidP="00F91F68">
            <w:pPr>
              <w:spacing w:after="0" w:line="240" w:lineRule="auto"/>
              <w:contextualSpacing/>
              <w:jc w:val="center"/>
              <w:rPr>
                <w:rFonts w:ascii="Times New Roman" w:eastAsia="Times New Roman" w:hAnsi="Times New Roman" w:cs="Times New Roman"/>
                <w:i/>
                <w:sz w:val="20"/>
                <w:szCs w:val="20"/>
              </w:rPr>
            </w:pPr>
          </w:p>
        </w:tc>
      </w:tr>
      <w:tr w:rsidR="00811739" w:rsidRPr="00162C3A" w:rsidTr="00F91F68">
        <w:trPr>
          <w:trHeight w:val="220"/>
        </w:trPr>
        <w:tc>
          <w:tcPr>
            <w:tcW w:w="1188" w:type="dxa"/>
            <w:vMerge/>
            <w:tcBorders>
              <w:top w:val="nil"/>
              <w:left w:val="single" w:sz="8" w:space="0" w:color="auto"/>
              <w:bottom w:val="single" w:sz="8"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before="100" w:beforeAutospacing="1" w:after="100" w:afterAutospacing="1"/>
              <w:jc w:val="center"/>
              <w:rPr>
                <w:rFonts w:ascii="Times New Roman" w:eastAsia="Times New Roman" w:hAnsi="Times New Roman" w:cs="Times New Roman"/>
                <w:sz w:val="20"/>
                <w:szCs w:val="20"/>
              </w:rPr>
            </w:pPr>
            <w:r w:rsidRPr="00723E6D">
              <w:rPr>
                <w:rFonts w:ascii="Times New Roman" w:eastAsia="Times New Roman" w:hAnsi="Times New Roman" w:cs="Times New Roman"/>
                <w:sz w:val="20"/>
                <w:szCs w:val="20"/>
              </w:rPr>
              <w:t xml:space="preserve">Symmetry ratio: </w:t>
            </w:r>
            <w:r w:rsidRPr="00162C3A">
              <w:rPr>
                <w:rFonts w:ascii="Times New Roman" w:eastAsia="Times New Roman" w:hAnsi="Times New Roman" w:cs="Times New Roman"/>
                <w:sz w:val="20"/>
                <w:szCs w:val="20"/>
              </w:rPr>
              <w:t>Step length(cm)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-0.4[0.9]</w:t>
            </w:r>
          </w:p>
          <w:p w:rsidR="00811739" w:rsidRPr="005420E7" w:rsidRDefault="00811739" w:rsidP="00F91F68">
            <w:pPr>
              <w:pStyle w:val="NoSpacing"/>
              <w:jc w:val="center"/>
              <w:rPr>
                <w:rFonts w:ascii="Times New Roman" w:hAnsi="Times New Roman"/>
                <w:i/>
                <w:szCs w:val="20"/>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-5.0[12.6]</w:t>
            </w:r>
          </w:p>
          <w:p w:rsidR="00811739" w:rsidRPr="005420E7" w:rsidRDefault="00811739" w:rsidP="00F91F68">
            <w:pPr>
              <w:pStyle w:val="NoSpacing"/>
              <w:jc w:val="center"/>
              <w:rPr>
                <w:rFonts w:ascii="Times New Roman" w:hAnsi="Times New Roman"/>
                <w:i/>
                <w:szCs w:val="20"/>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-0.1[0.4]</w:t>
            </w:r>
          </w:p>
          <w:p w:rsidR="00811739" w:rsidRPr="005420E7" w:rsidRDefault="00811739" w:rsidP="00F91F68">
            <w:pPr>
              <w:pStyle w:val="NoSpacing"/>
              <w:jc w:val="center"/>
              <w:rPr>
                <w:rFonts w:ascii="Times New Roman" w:hAnsi="Times New Roman"/>
                <w:i/>
                <w:szCs w:val="20"/>
              </w:rPr>
            </w:pPr>
          </w:p>
        </w:tc>
      </w:tr>
      <w:tr w:rsidR="00811739" w:rsidRPr="00162C3A" w:rsidTr="00F91F68">
        <w:trPr>
          <w:trHeight w:val="220"/>
        </w:trPr>
        <w:tc>
          <w:tcPr>
            <w:tcW w:w="1188" w:type="dxa"/>
            <w:vMerge/>
            <w:tcBorders>
              <w:top w:val="nil"/>
              <w:left w:val="single" w:sz="8" w:space="0" w:color="auto"/>
              <w:bottom w:val="single" w:sz="8"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739" w:rsidRPr="00162C3A" w:rsidRDefault="00811739" w:rsidP="00F91F68">
            <w:pPr>
              <w:spacing w:before="100" w:beforeAutospacing="1" w:after="100" w:afterAutospacing="1"/>
              <w:jc w:val="center"/>
              <w:rPr>
                <w:rFonts w:ascii="Times New Roman" w:eastAsia="Times New Roman" w:hAnsi="Times New Roman" w:cs="Times New Roman"/>
                <w:sz w:val="20"/>
                <w:szCs w:val="20"/>
              </w:rPr>
            </w:pPr>
            <w:r w:rsidRPr="00723E6D">
              <w:rPr>
                <w:rFonts w:ascii="Times New Roman" w:eastAsia="Times New Roman" w:hAnsi="Times New Roman" w:cs="Times New Roman"/>
                <w:sz w:val="20"/>
                <w:szCs w:val="20"/>
              </w:rPr>
              <w:t xml:space="preserve">Symmetry ratio: </w:t>
            </w:r>
            <w:r w:rsidRPr="00162C3A">
              <w:rPr>
                <w:rFonts w:ascii="Times New Roman" w:eastAsia="Times New Roman" w:hAnsi="Times New Roman" w:cs="Times New Roman"/>
                <w:sz w:val="20"/>
                <w:szCs w:val="20"/>
              </w:rPr>
              <w:t>Single support duration(s)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-0.4[0.9]</w:t>
            </w:r>
          </w:p>
          <w:p w:rsidR="00811739" w:rsidRPr="005420E7" w:rsidRDefault="00811739" w:rsidP="00F91F68">
            <w:pPr>
              <w:pStyle w:val="NoSpacing"/>
              <w:jc w:val="center"/>
              <w:rPr>
                <w:rFonts w:ascii="Times New Roman" w:hAnsi="Times New Roman"/>
                <w:i/>
                <w:szCs w:val="20"/>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-0.8[1.1]</w:t>
            </w:r>
          </w:p>
          <w:p w:rsidR="00811739" w:rsidRPr="005420E7" w:rsidRDefault="00811739" w:rsidP="00F91F68">
            <w:pPr>
              <w:pStyle w:val="NoSpacing"/>
              <w:jc w:val="center"/>
              <w:rPr>
                <w:rFonts w:ascii="Times New Roman" w:hAnsi="Times New Roman"/>
                <w:i/>
                <w:szCs w:val="20"/>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C7817" w:rsidRDefault="00811739" w:rsidP="00F91F68">
            <w:pPr>
              <w:pStyle w:val="NoSpacing"/>
              <w:jc w:val="center"/>
              <w:rPr>
                <w:rFonts w:ascii="Times New Roman" w:hAnsi="Times New Roman"/>
                <w:szCs w:val="20"/>
              </w:rPr>
            </w:pPr>
            <w:r w:rsidRPr="007C7817">
              <w:rPr>
                <w:rFonts w:ascii="Times New Roman" w:hAnsi="Times New Roman"/>
                <w:szCs w:val="20"/>
              </w:rPr>
              <w:t>-0.3[0.8]</w:t>
            </w:r>
          </w:p>
          <w:p w:rsidR="00811739" w:rsidRPr="005420E7" w:rsidRDefault="00811739" w:rsidP="00F91F68">
            <w:pPr>
              <w:pStyle w:val="NoSpacing"/>
              <w:jc w:val="center"/>
              <w:rPr>
                <w:rFonts w:ascii="Times New Roman" w:hAnsi="Times New Roman"/>
                <w:i/>
                <w:szCs w:val="20"/>
              </w:rPr>
            </w:pPr>
          </w:p>
        </w:tc>
      </w:tr>
      <w:tr w:rsidR="00811739" w:rsidRPr="00162C3A" w:rsidTr="00F91F68">
        <w:trPr>
          <w:trHeight w:val="220"/>
        </w:trPr>
        <w:tc>
          <w:tcPr>
            <w:tcW w:w="1188" w:type="dxa"/>
            <w:vMerge/>
            <w:tcBorders>
              <w:top w:val="nil"/>
              <w:left w:val="single" w:sz="8" w:space="0" w:color="auto"/>
              <w:bottom w:val="single" w:sz="8" w:space="0" w:color="auto"/>
              <w:right w:val="single" w:sz="8" w:space="0" w:color="auto"/>
            </w:tcBorders>
            <w:vAlign w:val="center"/>
            <w:hideMark/>
          </w:tcPr>
          <w:p w:rsidR="00811739" w:rsidRPr="00162C3A" w:rsidRDefault="00811739" w:rsidP="00F91F68">
            <w:pPr>
              <w:spacing w:after="0" w:line="240" w:lineRule="auto"/>
              <w:jc w:val="center"/>
              <w:rPr>
                <w:rFonts w:ascii="Times New Roman" w:eastAsia="Times New Roman" w:hAnsi="Times New Roman" w:cs="Times New Roman"/>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739" w:rsidRDefault="00811739" w:rsidP="00F91F68">
            <w:pPr>
              <w:spacing w:before="100" w:beforeAutospacing="1" w:after="100" w:afterAutospacing="1"/>
              <w:jc w:val="center"/>
              <w:rPr>
                <w:rFonts w:ascii="Times New Roman" w:eastAsia="Times New Roman" w:hAnsi="Times New Roman" w:cs="Times New Roman"/>
                <w:i/>
                <w:iCs/>
                <w:sz w:val="20"/>
                <w:szCs w:val="20"/>
              </w:rPr>
            </w:pPr>
            <w:r w:rsidRPr="00162C3A">
              <w:rPr>
                <w:rFonts w:ascii="Times New Roman" w:eastAsia="Times New Roman" w:hAnsi="Times New Roman" w:cs="Times New Roman"/>
                <w:sz w:val="20"/>
                <w:szCs w:val="20"/>
              </w:rPr>
              <w:t>Time to turn 180</w:t>
            </w:r>
            <w:r>
              <w:rPr>
                <w:rFonts w:ascii="Times New Roman" w:eastAsia="Times New Roman" w:hAnsi="Times New Roman" w:cs="Times New Roman"/>
                <w:sz w:val="20"/>
                <w:szCs w:val="20"/>
              </w:rPr>
              <w:t xml:space="preserve">° </w:t>
            </w:r>
            <w:r w:rsidRPr="00162C3A">
              <w:rPr>
                <w:rFonts w:ascii="Times New Roman" w:eastAsia="Times New Roman" w:hAnsi="Times New Roman" w:cs="Times New Roman"/>
                <w:sz w:val="20"/>
                <w:szCs w:val="20"/>
              </w:rPr>
              <w:t>(s)</w:t>
            </w:r>
            <w:r w:rsidRPr="00723E6D">
              <w:rPr>
                <w:rFonts w:ascii="Times New Roman" w:eastAsia="Times New Roman" w:hAnsi="Times New Roman" w:cs="Times New Roman"/>
                <w:sz w:val="20"/>
                <w:szCs w:val="20"/>
              </w:rPr>
              <w:t xml:space="preserve"> </w:t>
            </w:r>
            <w:r w:rsidRPr="00162C3A">
              <w:rPr>
                <w:rFonts w:ascii="Times New Roman" w:eastAsia="Times New Roman" w:hAnsi="Times New Roman" w:cs="Times New Roman"/>
                <w:i/>
                <w:iCs/>
                <w:sz w:val="20"/>
                <w:szCs w:val="20"/>
              </w:rPr>
              <w:t>Paretic side</w:t>
            </w:r>
          </w:p>
          <w:p w:rsidR="00811739" w:rsidRPr="00162C3A" w:rsidRDefault="00811739" w:rsidP="00F91F68">
            <w:pPr>
              <w:spacing w:before="100" w:beforeAutospacing="1" w:after="100" w:afterAutospacing="1" w:line="220" w:lineRule="atLeast"/>
              <w:jc w:val="center"/>
              <w:rPr>
                <w:rFonts w:ascii="Times New Roman" w:eastAsia="Times New Roman" w:hAnsi="Times New Roman" w:cs="Times New Roman"/>
                <w:sz w:val="20"/>
                <w:szCs w:val="20"/>
              </w:rPr>
            </w:pPr>
            <w:r w:rsidRPr="00162C3A">
              <w:rPr>
                <w:rFonts w:ascii="Times New Roman" w:eastAsia="Times New Roman" w:hAnsi="Times New Roman" w:cs="Times New Roman"/>
                <w:i/>
                <w:iCs/>
                <w:sz w:val="20"/>
                <w:szCs w:val="20"/>
              </w:rPr>
              <w:t>Non-paretic side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2.2[5.5]</w:t>
            </w:r>
          </w:p>
          <w:p w:rsidR="00811739" w:rsidRPr="00723E6D"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2.0[5.4]</w:t>
            </w:r>
          </w:p>
          <w:p w:rsidR="00811739" w:rsidRPr="00723E6D" w:rsidRDefault="00811739" w:rsidP="00F91F68">
            <w:pPr>
              <w:pStyle w:val="NoSpacing"/>
              <w:jc w:val="center"/>
              <w:rPr>
                <w:rFonts w:ascii="Times New Roman" w:hAnsi="Times New Roman"/>
                <w:szCs w:val="20"/>
              </w:rPr>
            </w:pP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-0.3[2.4]</w:t>
            </w:r>
          </w:p>
          <w:p w:rsidR="00811739" w:rsidRPr="00723E6D"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-0.2[1.2]</w:t>
            </w:r>
          </w:p>
          <w:p w:rsidR="00811739" w:rsidRPr="00723E6D" w:rsidRDefault="00811739" w:rsidP="00F91F68">
            <w:pPr>
              <w:pStyle w:val="NoSpacing"/>
              <w:jc w:val="center"/>
              <w:rPr>
                <w:rFonts w:ascii="Times New Roman" w:hAnsi="Times New Roman"/>
                <w:szCs w:val="20"/>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-0.7[2.2]</w:t>
            </w:r>
          </w:p>
          <w:p w:rsidR="00811739" w:rsidRPr="00723E6D" w:rsidRDefault="00811739" w:rsidP="00F91F68">
            <w:pPr>
              <w:pStyle w:val="NoSpacing"/>
              <w:jc w:val="center"/>
              <w:rPr>
                <w:rFonts w:ascii="Times New Roman" w:hAnsi="Times New Roman"/>
                <w:szCs w:val="20"/>
              </w:rPr>
            </w:pPr>
          </w:p>
          <w:p w:rsidR="00811739" w:rsidRPr="00723E6D" w:rsidRDefault="00811739" w:rsidP="00F91F68">
            <w:pPr>
              <w:pStyle w:val="NoSpacing"/>
              <w:jc w:val="center"/>
              <w:rPr>
                <w:rFonts w:ascii="Times New Roman" w:hAnsi="Times New Roman"/>
                <w:szCs w:val="20"/>
              </w:rPr>
            </w:pPr>
            <w:r w:rsidRPr="00723E6D">
              <w:rPr>
                <w:rFonts w:ascii="Times New Roman" w:hAnsi="Times New Roman"/>
                <w:szCs w:val="20"/>
              </w:rPr>
              <w:t>-1.8[3.5]</w:t>
            </w:r>
          </w:p>
          <w:p w:rsidR="00811739" w:rsidRPr="005420E7" w:rsidRDefault="00811739" w:rsidP="00F91F68">
            <w:pPr>
              <w:pStyle w:val="NoSpacing"/>
              <w:jc w:val="center"/>
              <w:rPr>
                <w:rFonts w:ascii="Times New Roman" w:hAnsi="Times New Roman"/>
                <w:i/>
                <w:szCs w:val="20"/>
              </w:rPr>
            </w:pPr>
          </w:p>
        </w:tc>
      </w:tr>
    </w:tbl>
    <w:p w:rsidR="001D070F" w:rsidRDefault="001D070F">
      <w:r>
        <w:br w:type="page"/>
      </w:r>
    </w:p>
    <w:p w:rsidR="001D070F" w:rsidRPr="00820EAD" w:rsidRDefault="001D070F" w:rsidP="001D070F">
      <w:pPr>
        <w:rPr>
          <w:b/>
        </w:rPr>
      </w:pPr>
      <w:r w:rsidRPr="00820EAD">
        <w:rPr>
          <w:b/>
        </w:rPr>
        <w:lastRenderedPageBreak/>
        <w:t>Table 4b: Secondary outcome</w:t>
      </w:r>
      <w:r>
        <w:rPr>
          <w:b/>
        </w:rPr>
        <w:t>s</w:t>
      </w:r>
      <w:r w:rsidRPr="00820EAD">
        <w:rPr>
          <w:b/>
        </w:rPr>
        <w:t xml:space="preserve"> summary</w:t>
      </w:r>
      <w:r>
        <w:rPr>
          <w:b/>
        </w:rPr>
        <w:t xml:space="preserve"> (</w:t>
      </w:r>
      <w:r w:rsidR="0053781E">
        <w:rPr>
          <w:b/>
        </w:rPr>
        <w:t>means</w:t>
      </w:r>
      <w:r>
        <w:rPr>
          <w:b/>
        </w:rPr>
        <w:t xml:space="preserve"> and </w:t>
      </w:r>
      <w:r w:rsidR="0053781E">
        <w:rPr>
          <w:b/>
        </w:rPr>
        <w:t>SD</w:t>
      </w:r>
      <w:bookmarkStart w:id="0" w:name="_GoBack"/>
      <w:bookmarkEnd w:id="0"/>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289"/>
        <w:gridCol w:w="1510"/>
        <w:gridCol w:w="1743"/>
        <w:gridCol w:w="1800"/>
      </w:tblGrid>
      <w:tr w:rsidR="00811739" w:rsidRPr="006943BD" w:rsidTr="00F91F68">
        <w:trPr>
          <w:trHeight w:val="399"/>
        </w:trPr>
        <w:tc>
          <w:tcPr>
            <w:tcW w:w="1866" w:type="dxa"/>
            <w:shd w:val="clear" w:color="auto" w:fill="FFFFFF" w:themeFill="background1"/>
            <w:vAlign w:val="center"/>
          </w:tcPr>
          <w:p w:rsidR="00811739" w:rsidRPr="006943BD" w:rsidRDefault="00811739" w:rsidP="00F91F68">
            <w:pPr>
              <w:pStyle w:val="NoSpacing"/>
              <w:jc w:val="center"/>
              <w:rPr>
                <w:b/>
                <w:sz w:val="16"/>
              </w:rPr>
            </w:pPr>
            <w:r>
              <w:rPr>
                <w:b/>
                <w:sz w:val="16"/>
              </w:rPr>
              <w:t>Secondary outcome</w:t>
            </w:r>
          </w:p>
        </w:tc>
        <w:tc>
          <w:tcPr>
            <w:tcW w:w="1289" w:type="dxa"/>
            <w:shd w:val="clear" w:color="auto" w:fill="FFFFFF" w:themeFill="background1"/>
            <w:vAlign w:val="center"/>
          </w:tcPr>
          <w:p w:rsidR="00811739" w:rsidRDefault="00811739" w:rsidP="00F91F68">
            <w:pPr>
              <w:pStyle w:val="NoSpacing"/>
              <w:jc w:val="center"/>
              <w:rPr>
                <w:b/>
                <w:sz w:val="16"/>
              </w:rPr>
            </w:pPr>
            <w:r>
              <w:rPr>
                <w:b/>
                <w:sz w:val="16"/>
              </w:rPr>
              <w:t>Assessment Time point</w:t>
            </w:r>
          </w:p>
        </w:tc>
        <w:tc>
          <w:tcPr>
            <w:tcW w:w="1510" w:type="dxa"/>
            <w:shd w:val="clear" w:color="auto" w:fill="FFFFFF" w:themeFill="background1"/>
            <w:vAlign w:val="center"/>
          </w:tcPr>
          <w:p w:rsidR="00811739" w:rsidRDefault="00811739" w:rsidP="00F91F68">
            <w:pPr>
              <w:pStyle w:val="NoSpacing"/>
              <w:jc w:val="center"/>
              <w:rPr>
                <w:b/>
                <w:sz w:val="16"/>
              </w:rPr>
            </w:pPr>
            <w:r>
              <w:rPr>
                <w:b/>
                <w:sz w:val="16"/>
              </w:rPr>
              <w:t xml:space="preserve">Treadmill </w:t>
            </w:r>
            <w:r w:rsidRPr="006943BD">
              <w:rPr>
                <w:b/>
                <w:sz w:val="16"/>
              </w:rPr>
              <w:t>VCT</w:t>
            </w:r>
          </w:p>
          <w:p w:rsidR="00811739" w:rsidRDefault="00811739" w:rsidP="00F91F68">
            <w:pPr>
              <w:pStyle w:val="NoSpacing"/>
              <w:jc w:val="center"/>
              <w:rPr>
                <w:rFonts w:ascii="Times New Roman" w:eastAsia="Times New Roman" w:hAnsi="Times New Roman"/>
                <w:bCs/>
              </w:rPr>
            </w:pPr>
            <w:r w:rsidRPr="005420E7">
              <w:rPr>
                <w:rFonts w:ascii="Times New Roman" w:eastAsia="Times New Roman" w:hAnsi="Times New Roman"/>
                <w:bCs/>
              </w:rPr>
              <w:t>Mean</w:t>
            </w:r>
            <w:r>
              <w:rPr>
                <w:rFonts w:ascii="Times New Roman" w:eastAsia="Times New Roman" w:hAnsi="Times New Roman"/>
                <w:bCs/>
              </w:rPr>
              <w:t xml:space="preserve"> [SD]</w:t>
            </w:r>
          </w:p>
          <w:p w:rsidR="00811739" w:rsidRPr="006943BD" w:rsidRDefault="00811739" w:rsidP="00F91F68">
            <w:pPr>
              <w:pStyle w:val="NoSpacing"/>
              <w:jc w:val="center"/>
              <w:rPr>
                <w:b/>
                <w:sz w:val="16"/>
              </w:rPr>
            </w:pPr>
          </w:p>
        </w:tc>
        <w:tc>
          <w:tcPr>
            <w:tcW w:w="1743" w:type="dxa"/>
            <w:shd w:val="clear" w:color="auto" w:fill="FFFFFF" w:themeFill="background1"/>
            <w:vAlign w:val="center"/>
          </w:tcPr>
          <w:p w:rsidR="00811739" w:rsidRDefault="00811739" w:rsidP="00F91F68">
            <w:pPr>
              <w:pStyle w:val="NoSpacing"/>
              <w:jc w:val="center"/>
              <w:rPr>
                <w:b/>
                <w:sz w:val="16"/>
              </w:rPr>
            </w:pPr>
            <w:r>
              <w:rPr>
                <w:b/>
                <w:sz w:val="16"/>
              </w:rPr>
              <w:t>Over-ground VCT</w:t>
            </w:r>
          </w:p>
          <w:p w:rsidR="00811739" w:rsidRDefault="00811739" w:rsidP="00F91F68">
            <w:pPr>
              <w:pStyle w:val="NoSpacing"/>
              <w:jc w:val="center"/>
              <w:rPr>
                <w:rFonts w:ascii="Times New Roman" w:eastAsia="Times New Roman" w:hAnsi="Times New Roman"/>
                <w:bCs/>
              </w:rPr>
            </w:pPr>
            <w:r w:rsidRPr="005420E7">
              <w:rPr>
                <w:rFonts w:ascii="Times New Roman" w:eastAsia="Times New Roman" w:hAnsi="Times New Roman"/>
                <w:bCs/>
              </w:rPr>
              <w:t>Mean</w:t>
            </w:r>
            <w:r>
              <w:rPr>
                <w:rFonts w:ascii="Times New Roman" w:eastAsia="Times New Roman" w:hAnsi="Times New Roman"/>
                <w:bCs/>
              </w:rPr>
              <w:t xml:space="preserve"> [SD]</w:t>
            </w:r>
          </w:p>
          <w:p w:rsidR="00811739" w:rsidRPr="006943BD" w:rsidRDefault="00811739" w:rsidP="00F91F68">
            <w:pPr>
              <w:pStyle w:val="NoSpacing"/>
              <w:jc w:val="center"/>
              <w:rPr>
                <w:b/>
                <w:sz w:val="16"/>
              </w:rPr>
            </w:pPr>
          </w:p>
        </w:tc>
        <w:tc>
          <w:tcPr>
            <w:tcW w:w="1800" w:type="dxa"/>
            <w:shd w:val="clear" w:color="auto" w:fill="FFFFFF" w:themeFill="background1"/>
            <w:vAlign w:val="center"/>
          </w:tcPr>
          <w:p w:rsidR="00811739" w:rsidRDefault="00811739" w:rsidP="00F91F68">
            <w:pPr>
              <w:pStyle w:val="NoSpacing"/>
              <w:jc w:val="center"/>
              <w:rPr>
                <w:b/>
                <w:sz w:val="16"/>
              </w:rPr>
            </w:pPr>
            <w:r w:rsidRPr="006943BD">
              <w:rPr>
                <w:b/>
                <w:sz w:val="16"/>
              </w:rPr>
              <w:t>Usual care</w:t>
            </w:r>
          </w:p>
          <w:p w:rsidR="00811739" w:rsidRDefault="00811739" w:rsidP="00F91F68">
            <w:pPr>
              <w:pStyle w:val="NoSpacing"/>
              <w:jc w:val="center"/>
              <w:rPr>
                <w:rFonts w:ascii="Times New Roman" w:eastAsia="Times New Roman" w:hAnsi="Times New Roman"/>
                <w:bCs/>
              </w:rPr>
            </w:pPr>
            <w:r w:rsidRPr="005420E7">
              <w:rPr>
                <w:rFonts w:ascii="Times New Roman" w:eastAsia="Times New Roman" w:hAnsi="Times New Roman"/>
                <w:bCs/>
              </w:rPr>
              <w:t>Mean</w:t>
            </w:r>
            <w:r>
              <w:rPr>
                <w:rFonts w:ascii="Times New Roman" w:eastAsia="Times New Roman" w:hAnsi="Times New Roman"/>
                <w:bCs/>
              </w:rPr>
              <w:t xml:space="preserve"> [SD]</w:t>
            </w:r>
          </w:p>
          <w:p w:rsidR="00811739" w:rsidRPr="006943BD" w:rsidRDefault="00811739" w:rsidP="00F91F68">
            <w:pPr>
              <w:pStyle w:val="NoSpacing"/>
              <w:jc w:val="center"/>
              <w:rPr>
                <w:b/>
                <w:sz w:val="16"/>
              </w:rPr>
            </w:pPr>
          </w:p>
        </w:tc>
      </w:tr>
      <w:tr w:rsidR="00811739" w:rsidRPr="006943BD" w:rsidTr="00F91F68">
        <w:tc>
          <w:tcPr>
            <w:tcW w:w="1866" w:type="dxa"/>
            <w:vMerge w:val="restart"/>
            <w:vAlign w:val="center"/>
          </w:tcPr>
          <w:p w:rsidR="00811739" w:rsidRDefault="00811739" w:rsidP="00F91F68">
            <w:pPr>
              <w:pStyle w:val="NoSpacing"/>
              <w:jc w:val="center"/>
              <w:rPr>
                <w:b/>
                <w:sz w:val="16"/>
              </w:rPr>
            </w:pPr>
            <w:r>
              <w:rPr>
                <w:b/>
                <w:sz w:val="16"/>
              </w:rPr>
              <w:t>TUG (seconds)</w:t>
            </w:r>
          </w:p>
          <w:p w:rsidR="00811739" w:rsidRDefault="00811739" w:rsidP="00F91F68">
            <w:pPr>
              <w:pStyle w:val="NoSpacing"/>
              <w:jc w:val="center"/>
              <w:rPr>
                <w:sz w:val="16"/>
              </w:rPr>
            </w:pPr>
          </w:p>
          <w:p w:rsidR="00811739" w:rsidRDefault="00811739" w:rsidP="00F91F68">
            <w:pPr>
              <w:pStyle w:val="NoSpacing"/>
              <w:jc w:val="center"/>
              <w:rPr>
                <w:sz w:val="16"/>
              </w:rPr>
            </w:pPr>
          </w:p>
          <w:p w:rsidR="00811739" w:rsidRPr="006943BD" w:rsidRDefault="00811739" w:rsidP="00F91F68">
            <w:pPr>
              <w:pStyle w:val="NoSpacing"/>
              <w:jc w:val="center"/>
              <w:rPr>
                <w:sz w:val="16"/>
              </w:rPr>
            </w:pPr>
          </w:p>
        </w:tc>
        <w:tc>
          <w:tcPr>
            <w:tcW w:w="1289" w:type="dxa"/>
            <w:vAlign w:val="center"/>
          </w:tcPr>
          <w:p w:rsidR="00811739" w:rsidRDefault="00811739" w:rsidP="00F91F68">
            <w:pPr>
              <w:pStyle w:val="NoSpacing"/>
              <w:jc w:val="center"/>
              <w:rPr>
                <w:sz w:val="16"/>
              </w:rPr>
            </w:pPr>
            <w:r>
              <w:rPr>
                <w:sz w:val="16"/>
              </w:rPr>
              <w:t>Baseline</w:t>
            </w:r>
          </w:p>
        </w:tc>
        <w:tc>
          <w:tcPr>
            <w:tcW w:w="1510" w:type="dxa"/>
            <w:vAlign w:val="center"/>
          </w:tcPr>
          <w:p w:rsidR="00811739" w:rsidRDefault="00811739" w:rsidP="00F91F68">
            <w:pPr>
              <w:pStyle w:val="NoSpacing"/>
              <w:jc w:val="center"/>
              <w:rPr>
                <w:sz w:val="16"/>
              </w:rPr>
            </w:pPr>
            <w:r>
              <w:rPr>
                <w:sz w:val="16"/>
              </w:rPr>
              <w:t>51.1[25.6]</w:t>
            </w:r>
          </w:p>
          <w:p w:rsidR="00811739" w:rsidRPr="006943BD" w:rsidRDefault="00811739" w:rsidP="00F91F68">
            <w:pPr>
              <w:pStyle w:val="NoSpacing"/>
              <w:jc w:val="center"/>
              <w:rPr>
                <w:sz w:val="16"/>
              </w:rPr>
            </w:pPr>
          </w:p>
        </w:tc>
        <w:tc>
          <w:tcPr>
            <w:tcW w:w="1743" w:type="dxa"/>
            <w:vAlign w:val="center"/>
          </w:tcPr>
          <w:p w:rsidR="00811739" w:rsidRDefault="00811739" w:rsidP="00F91F68">
            <w:pPr>
              <w:pStyle w:val="NoSpacing"/>
              <w:jc w:val="center"/>
              <w:rPr>
                <w:sz w:val="16"/>
              </w:rPr>
            </w:pPr>
            <w:r>
              <w:rPr>
                <w:sz w:val="16"/>
              </w:rPr>
              <w:t>50.4[64.5]</w:t>
            </w:r>
          </w:p>
          <w:p w:rsidR="00811739" w:rsidRPr="006943BD" w:rsidRDefault="00811739" w:rsidP="00F91F68">
            <w:pPr>
              <w:pStyle w:val="NoSpacing"/>
              <w:jc w:val="center"/>
              <w:rPr>
                <w:sz w:val="16"/>
              </w:rPr>
            </w:pPr>
          </w:p>
        </w:tc>
        <w:tc>
          <w:tcPr>
            <w:tcW w:w="1800" w:type="dxa"/>
            <w:vAlign w:val="center"/>
          </w:tcPr>
          <w:p w:rsidR="00811739" w:rsidRDefault="00811739" w:rsidP="00F91F68">
            <w:pPr>
              <w:pStyle w:val="NoSpacing"/>
              <w:jc w:val="center"/>
              <w:rPr>
                <w:sz w:val="16"/>
              </w:rPr>
            </w:pPr>
            <w:r>
              <w:rPr>
                <w:sz w:val="16"/>
              </w:rPr>
              <w:t>49.6[31.5]</w:t>
            </w:r>
          </w:p>
          <w:p w:rsidR="00811739" w:rsidRPr="006943BD" w:rsidRDefault="00811739" w:rsidP="00F91F68">
            <w:pPr>
              <w:pStyle w:val="NoSpacing"/>
              <w:jc w:val="center"/>
              <w:rPr>
                <w:sz w:val="16"/>
              </w:rPr>
            </w:pPr>
          </w:p>
        </w:tc>
      </w:tr>
      <w:tr w:rsidR="00811739" w:rsidRPr="006943BD" w:rsidTr="00F91F68">
        <w:tc>
          <w:tcPr>
            <w:tcW w:w="1866" w:type="dxa"/>
            <w:vMerge/>
          </w:tcPr>
          <w:p w:rsidR="00811739" w:rsidRPr="006943BD" w:rsidRDefault="00811739" w:rsidP="00F91F68">
            <w:pPr>
              <w:pStyle w:val="NoSpacing"/>
              <w:jc w:val="right"/>
              <w:rPr>
                <w:sz w:val="16"/>
              </w:rPr>
            </w:pPr>
          </w:p>
        </w:tc>
        <w:tc>
          <w:tcPr>
            <w:tcW w:w="1289" w:type="dxa"/>
            <w:vAlign w:val="center"/>
          </w:tcPr>
          <w:p w:rsidR="00811739" w:rsidRDefault="00811739" w:rsidP="00F91F68">
            <w:pPr>
              <w:pStyle w:val="NoSpacing"/>
              <w:jc w:val="center"/>
              <w:rPr>
                <w:sz w:val="16"/>
              </w:rPr>
            </w:pPr>
            <w:r>
              <w:rPr>
                <w:sz w:val="16"/>
              </w:rPr>
              <w:t>Post-treatment</w:t>
            </w:r>
          </w:p>
        </w:tc>
        <w:tc>
          <w:tcPr>
            <w:tcW w:w="1510" w:type="dxa"/>
            <w:vAlign w:val="center"/>
          </w:tcPr>
          <w:p w:rsidR="00811739" w:rsidRDefault="00811739" w:rsidP="00F91F68">
            <w:pPr>
              <w:pStyle w:val="NoSpacing"/>
              <w:jc w:val="center"/>
              <w:rPr>
                <w:sz w:val="16"/>
              </w:rPr>
            </w:pPr>
            <w:r>
              <w:rPr>
                <w:sz w:val="16"/>
              </w:rPr>
              <w:t>34.9[16.6]</w:t>
            </w:r>
          </w:p>
          <w:p w:rsidR="00811739" w:rsidRPr="006943BD" w:rsidRDefault="00811739" w:rsidP="00F91F68">
            <w:pPr>
              <w:pStyle w:val="NoSpacing"/>
              <w:jc w:val="center"/>
              <w:rPr>
                <w:sz w:val="16"/>
              </w:rPr>
            </w:pPr>
          </w:p>
        </w:tc>
        <w:tc>
          <w:tcPr>
            <w:tcW w:w="1743" w:type="dxa"/>
            <w:vAlign w:val="center"/>
          </w:tcPr>
          <w:p w:rsidR="00811739" w:rsidRDefault="00811739" w:rsidP="00F91F68">
            <w:pPr>
              <w:pStyle w:val="NoSpacing"/>
              <w:jc w:val="center"/>
              <w:rPr>
                <w:sz w:val="16"/>
              </w:rPr>
            </w:pPr>
            <w:r>
              <w:rPr>
                <w:sz w:val="16"/>
              </w:rPr>
              <w:t>37.9[22.6]</w:t>
            </w:r>
          </w:p>
          <w:p w:rsidR="00811739" w:rsidRPr="006943BD" w:rsidRDefault="00811739" w:rsidP="00F91F68">
            <w:pPr>
              <w:pStyle w:val="NoSpacing"/>
              <w:jc w:val="center"/>
              <w:rPr>
                <w:sz w:val="16"/>
              </w:rPr>
            </w:pPr>
          </w:p>
        </w:tc>
        <w:tc>
          <w:tcPr>
            <w:tcW w:w="1800" w:type="dxa"/>
            <w:vAlign w:val="center"/>
          </w:tcPr>
          <w:p w:rsidR="00811739" w:rsidRDefault="00811739" w:rsidP="00F91F68">
            <w:pPr>
              <w:pStyle w:val="NoSpacing"/>
              <w:jc w:val="center"/>
              <w:rPr>
                <w:sz w:val="16"/>
              </w:rPr>
            </w:pPr>
            <w:r>
              <w:rPr>
                <w:sz w:val="16"/>
              </w:rPr>
              <w:t>43.1[29.8]</w:t>
            </w:r>
          </w:p>
          <w:p w:rsidR="00811739" w:rsidRPr="006943BD" w:rsidRDefault="00811739" w:rsidP="00F91F68">
            <w:pPr>
              <w:pStyle w:val="NoSpacing"/>
              <w:jc w:val="center"/>
              <w:rPr>
                <w:sz w:val="16"/>
              </w:rPr>
            </w:pPr>
          </w:p>
        </w:tc>
      </w:tr>
      <w:tr w:rsidR="00811739" w:rsidRPr="006943BD" w:rsidTr="00F91F68">
        <w:tc>
          <w:tcPr>
            <w:tcW w:w="1866" w:type="dxa"/>
            <w:vMerge/>
            <w:tcBorders>
              <w:bottom w:val="single" w:sz="12" w:space="0" w:color="auto"/>
            </w:tcBorders>
          </w:tcPr>
          <w:p w:rsidR="00811739" w:rsidRPr="006811BA" w:rsidRDefault="00811739" w:rsidP="00F91F68">
            <w:pPr>
              <w:pStyle w:val="NoSpacing"/>
              <w:rPr>
                <w:sz w:val="16"/>
              </w:rPr>
            </w:pPr>
          </w:p>
        </w:tc>
        <w:tc>
          <w:tcPr>
            <w:tcW w:w="1289" w:type="dxa"/>
            <w:tcBorders>
              <w:bottom w:val="single" w:sz="12" w:space="0" w:color="auto"/>
            </w:tcBorders>
            <w:vAlign w:val="center"/>
          </w:tcPr>
          <w:p w:rsidR="00811739" w:rsidRDefault="00811739" w:rsidP="00F91F68">
            <w:pPr>
              <w:pStyle w:val="NoSpacing"/>
              <w:jc w:val="center"/>
              <w:rPr>
                <w:sz w:val="16"/>
              </w:rPr>
            </w:pPr>
            <w:r>
              <w:rPr>
                <w:sz w:val="16"/>
              </w:rPr>
              <w:t>Follow-up</w:t>
            </w:r>
          </w:p>
        </w:tc>
        <w:tc>
          <w:tcPr>
            <w:tcW w:w="1510" w:type="dxa"/>
            <w:tcBorders>
              <w:bottom w:val="single" w:sz="12" w:space="0" w:color="auto"/>
            </w:tcBorders>
            <w:vAlign w:val="center"/>
          </w:tcPr>
          <w:p w:rsidR="00811739" w:rsidRDefault="00811739" w:rsidP="00F91F68">
            <w:pPr>
              <w:pStyle w:val="NoSpacing"/>
              <w:jc w:val="center"/>
              <w:rPr>
                <w:sz w:val="16"/>
              </w:rPr>
            </w:pPr>
            <w:r>
              <w:rPr>
                <w:sz w:val="16"/>
              </w:rPr>
              <w:t>37.6[21]</w:t>
            </w:r>
          </w:p>
          <w:p w:rsidR="00811739" w:rsidRPr="000944CB" w:rsidRDefault="00811739" w:rsidP="00F91F68">
            <w:pPr>
              <w:pStyle w:val="NoSpacing"/>
              <w:jc w:val="center"/>
              <w:rPr>
                <w:i/>
                <w:sz w:val="16"/>
              </w:rPr>
            </w:pPr>
          </w:p>
        </w:tc>
        <w:tc>
          <w:tcPr>
            <w:tcW w:w="1743" w:type="dxa"/>
            <w:tcBorders>
              <w:bottom w:val="single" w:sz="12" w:space="0" w:color="auto"/>
            </w:tcBorders>
            <w:vAlign w:val="center"/>
          </w:tcPr>
          <w:p w:rsidR="00811739" w:rsidRDefault="00811739" w:rsidP="00F91F68">
            <w:pPr>
              <w:pStyle w:val="NoSpacing"/>
              <w:jc w:val="center"/>
              <w:rPr>
                <w:sz w:val="16"/>
              </w:rPr>
            </w:pPr>
            <w:r>
              <w:rPr>
                <w:sz w:val="16"/>
              </w:rPr>
              <w:t>37.8[26.4]</w:t>
            </w:r>
          </w:p>
          <w:p w:rsidR="00811739" w:rsidRPr="006943BD" w:rsidRDefault="00811739" w:rsidP="00F91F68">
            <w:pPr>
              <w:pStyle w:val="NoSpacing"/>
              <w:jc w:val="center"/>
              <w:rPr>
                <w:sz w:val="16"/>
              </w:rPr>
            </w:pPr>
          </w:p>
        </w:tc>
        <w:tc>
          <w:tcPr>
            <w:tcW w:w="1800" w:type="dxa"/>
            <w:tcBorders>
              <w:bottom w:val="single" w:sz="12" w:space="0" w:color="auto"/>
            </w:tcBorders>
            <w:vAlign w:val="center"/>
          </w:tcPr>
          <w:p w:rsidR="00811739" w:rsidRDefault="00811739" w:rsidP="00F91F68">
            <w:pPr>
              <w:pStyle w:val="NoSpacing"/>
              <w:jc w:val="center"/>
              <w:rPr>
                <w:sz w:val="16"/>
              </w:rPr>
            </w:pPr>
            <w:r>
              <w:rPr>
                <w:sz w:val="16"/>
              </w:rPr>
              <w:t>38.4[29.4]</w:t>
            </w:r>
          </w:p>
          <w:p w:rsidR="00811739" w:rsidRPr="000944CB" w:rsidRDefault="00811739" w:rsidP="00F91F68">
            <w:pPr>
              <w:pStyle w:val="NoSpacing"/>
              <w:jc w:val="center"/>
              <w:rPr>
                <w:i/>
                <w:sz w:val="16"/>
              </w:rPr>
            </w:pPr>
          </w:p>
        </w:tc>
      </w:tr>
      <w:tr w:rsidR="00811739" w:rsidRPr="006943BD" w:rsidTr="00F91F68">
        <w:trPr>
          <w:trHeight w:val="425"/>
        </w:trPr>
        <w:tc>
          <w:tcPr>
            <w:tcW w:w="1866" w:type="dxa"/>
            <w:vMerge w:val="restart"/>
            <w:tcBorders>
              <w:top w:val="single" w:sz="12" w:space="0" w:color="auto"/>
              <w:left w:val="single" w:sz="4" w:space="0" w:color="auto"/>
              <w:right w:val="single" w:sz="4" w:space="0" w:color="auto"/>
            </w:tcBorders>
            <w:vAlign w:val="center"/>
          </w:tcPr>
          <w:p w:rsidR="00811739" w:rsidRPr="00F84C54" w:rsidRDefault="00811739" w:rsidP="00F91F68">
            <w:pPr>
              <w:pStyle w:val="NoSpacing"/>
              <w:jc w:val="center"/>
              <w:rPr>
                <w:b/>
                <w:sz w:val="16"/>
              </w:rPr>
            </w:pPr>
            <w:r>
              <w:rPr>
                <w:b/>
                <w:sz w:val="16"/>
              </w:rPr>
              <w:t>Berg-Balance Scale</w:t>
            </w:r>
          </w:p>
        </w:tc>
        <w:tc>
          <w:tcPr>
            <w:tcW w:w="1289"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Baseline</w:t>
            </w:r>
          </w:p>
        </w:tc>
        <w:tc>
          <w:tcPr>
            <w:tcW w:w="151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41.6[8]</w:t>
            </w:r>
          </w:p>
          <w:p w:rsidR="00811739" w:rsidRPr="006943BD" w:rsidRDefault="00811739" w:rsidP="00F91F68">
            <w:pPr>
              <w:pStyle w:val="NoSpacing"/>
              <w:jc w:val="center"/>
              <w:rPr>
                <w:sz w:val="16"/>
              </w:rPr>
            </w:pPr>
          </w:p>
        </w:tc>
        <w:tc>
          <w:tcPr>
            <w:tcW w:w="1743"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42.1[9.8]</w:t>
            </w:r>
          </w:p>
          <w:p w:rsidR="00811739" w:rsidRPr="006943BD" w:rsidRDefault="00811739" w:rsidP="00F91F68">
            <w:pPr>
              <w:pStyle w:val="NoSpacing"/>
              <w:jc w:val="center"/>
              <w:rPr>
                <w:sz w:val="16"/>
              </w:rPr>
            </w:pPr>
          </w:p>
        </w:tc>
        <w:tc>
          <w:tcPr>
            <w:tcW w:w="180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42.6[7.6]</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Post-treatment</w:t>
            </w:r>
          </w:p>
        </w:tc>
        <w:tc>
          <w:tcPr>
            <w:tcW w:w="151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46.9[8.8]</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49.8[5.3]</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47.3[8.6]</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bottom w:val="single" w:sz="12"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Follow-up</w:t>
            </w:r>
          </w:p>
        </w:tc>
        <w:tc>
          <w:tcPr>
            <w:tcW w:w="151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48.7[9.1]</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49[5.3]</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48.3[6.9]</w:t>
            </w:r>
          </w:p>
          <w:p w:rsidR="00811739" w:rsidRPr="006943BD" w:rsidRDefault="00811739" w:rsidP="00F91F68">
            <w:pPr>
              <w:pStyle w:val="NoSpacing"/>
              <w:jc w:val="center"/>
              <w:rPr>
                <w:sz w:val="16"/>
              </w:rPr>
            </w:pPr>
          </w:p>
        </w:tc>
      </w:tr>
      <w:tr w:rsidR="00811739" w:rsidRPr="006943BD" w:rsidTr="00F91F68">
        <w:tc>
          <w:tcPr>
            <w:tcW w:w="1866" w:type="dxa"/>
            <w:vMerge w:val="restart"/>
            <w:tcBorders>
              <w:top w:val="single" w:sz="12" w:space="0" w:color="auto"/>
              <w:left w:val="single" w:sz="4" w:space="0" w:color="auto"/>
              <w:right w:val="single" w:sz="4" w:space="0" w:color="auto"/>
            </w:tcBorders>
            <w:vAlign w:val="center"/>
          </w:tcPr>
          <w:p w:rsidR="00811739" w:rsidRDefault="00811739" w:rsidP="00F91F68">
            <w:pPr>
              <w:pStyle w:val="NoSpacing"/>
              <w:jc w:val="center"/>
              <w:rPr>
                <w:b/>
                <w:sz w:val="16"/>
              </w:rPr>
            </w:pPr>
            <w:proofErr w:type="spellStart"/>
            <w:r w:rsidRPr="006943BD">
              <w:rPr>
                <w:b/>
                <w:sz w:val="16"/>
              </w:rPr>
              <w:t>Fugl</w:t>
            </w:r>
            <w:proofErr w:type="spellEnd"/>
            <w:r w:rsidRPr="006943BD">
              <w:rPr>
                <w:b/>
                <w:sz w:val="16"/>
              </w:rPr>
              <w:t xml:space="preserve">-Meyer </w:t>
            </w:r>
            <w:r>
              <w:rPr>
                <w:b/>
                <w:sz w:val="16"/>
              </w:rPr>
              <w:t>Lower Limb</w:t>
            </w:r>
          </w:p>
          <w:p w:rsidR="00811739" w:rsidRPr="00F84C54" w:rsidRDefault="00811739" w:rsidP="00F91F68">
            <w:pPr>
              <w:pStyle w:val="NoSpacing"/>
              <w:jc w:val="center"/>
              <w:rPr>
                <w:b/>
                <w:sz w:val="16"/>
              </w:rPr>
            </w:pPr>
          </w:p>
          <w:p w:rsidR="00811739" w:rsidRPr="00F84C54" w:rsidRDefault="00811739" w:rsidP="00F91F68">
            <w:pPr>
              <w:pStyle w:val="NoSpacing"/>
              <w:jc w:val="center"/>
              <w:rPr>
                <w:b/>
                <w:sz w:val="16"/>
              </w:rPr>
            </w:pPr>
          </w:p>
        </w:tc>
        <w:tc>
          <w:tcPr>
            <w:tcW w:w="1289"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Baseline</w:t>
            </w:r>
          </w:p>
        </w:tc>
        <w:tc>
          <w:tcPr>
            <w:tcW w:w="151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22.3[5.7]</w:t>
            </w:r>
          </w:p>
          <w:p w:rsidR="00811739" w:rsidRPr="006943BD" w:rsidRDefault="00811739" w:rsidP="00F91F68">
            <w:pPr>
              <w:pStyle w:val="NoSpacing"/>
              <w:jc w:val="center"/>
              <w:rPr>
                <w:sz w:val="16"/>
              </w:rPr>
            </w:pPr>
          </w:p>
        </w:tc>
        <w:tc>
          <w:tcPr>
            <w:tcW w:w="1743"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22.5[4.9]</w:t>
            </w:r>
          </w:p>
          <w:p w:rsidR="00811739" w:rsidRPr="006943BD" w:rsidRDefault="00811739" w:rsidP="00F91F68">
            <w:pPr>
              <w:pStyle w:val="NoSpacing"/>
              <w:jc w:val="center"/>
              <w:rPr>
                <w:sz w:val="16"/>
              </w:rPr>
            </w:pPr>
          </w:p>
        </w:tc>
        <w:tc>
          <w:tcPr>
            <w:tcW w:w="180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23.9[6.2]</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Post-treatment</w:t>
            </w:r>
          </w:p>
        </w:tc>
        <w:tc>
          <w:tcPr>
            <w:tcW w:w="151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24.9[6.1]</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25.8[5.9]</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26.5[6]</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bottom w:val="single" w:sz="12"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Follow-up</w:t>
            </w:r>
          </w:p>
        </w:tc>
        <w:tc>
          <w:tcPr>
            <w:tcW w:w="151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25.6[5.4]</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25.8[7]</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26.5[6.3]</w:t>
            </w:r>
          </w:p>
          <w:p w:rsidR="00811739" w:rsidRPr="006943BD" w:rsidRDefault="00811739" w:rsidP="00F91F68">
            <w:pPr>
              <w:pStyle w:val="NoSpacing"/>
              <w:jc w:val="center"/>
              <w:rPr>
                <w:sz w:val="16"/>
              </w:rPr>
            </w:pPr>
          </w:p>
        </w:tc>
      </w:tr>
      <w:tr w:rsidR="00811739" w:rsidRPr="006943BD" w:rsidTr="00F91F68">
        <w:tc>
          <w:tcPr>
            <w:tcW w:w="1866" w:type="dxa"/>
            <w:vMerge w:val="restart"/>
            <w:tcBorders>
              <w:top w:val="single" w:sz="12" w:space="0" w:color="auto"/>
              <w:left w:val="single" w:sz="4" w:space="0" w:color="auto"/>
              <w:right w:val="single" w:sz="4" w:space="0" w:color="auto"/>
            </w:tcBorders>
            <w:vAlign w:val="center"/>
          </w:tcPr>
          <w:p w:rsidR="00811739" w:rsidRPr="006943BD" w:rsidRDefault="00811739" w:rsidP="00F91F68">
            <w:pPr>
              <w:pStyle w:val="NoSpacing"/>
              <w:jc w:val="center"/>
              <w:rPr>
                <w:b/>
                <w:sz w:val="16"/>
              </w:rPr>
            </w:pPr>
            <w:r>
              <w:rPr>
                <w:b/>
                <w:sz w:val="16"/>
              </w:rPr>
              <w:t>Falls Efficacy Scale</w:t>
            </w:r>
          </w:p>
          <w:p w:rsidR="00811739" w:rsidRPr="00F84C54" w:rsidRDefault="00811739" w:rsidP="00F91F68">
            <w:pPr>
              <w:pStyle w:val="NoSpacing"/>
              <w:jc w:val="center"/>
              <w:rPr>
                <w:b/>
                <w:sz w:val="16"/>
              </w:rPr>
            </w:pPr>
          </w:p>
        </w:tc>
        <w:tc>
          <w:tcPr>
            <w:tcW w:w="1289"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Baseline</w:t>
            </w:r>
          </w:p>
        </w:tc>
        <w:tc>
          <w:tcPr>
            <w:tcW w:w="151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6.2[2.3]</w:t>
            </w:r>
          </w:p>
          <w:p w:rsidR="00811739" w:rsidRPr="006943BD" w:rsidRDefault="00811739" w:rsidP="00F91F68">
            <w:pPr>
              <w:pStyle w:val="NoSpacing"/>
              <w:jc w:val="center"/>
              <w:rPr>
                <w:sz w:val="16"/>
              </w:rPr>
            </w:pPr>
          </w:p>
        </w:tc>
        <w:tc>
          <w:tcPr>
            <w:tcW w:w="1743"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6.8[2.7]</w:t>
            </w:r>
          </w:p>
          <w:p w:rsidR="00811739" w:rsidRPr="006943BD" w:rsidRDefault="00811739" w:rsidP="00F91F68">
            <w:pPr>
              <w:pStyle w:val="NoSpacing"/>
              <w:jc w:val="center"/>
              <w:rPr>
                <w:sz w:val="16"/>
              </w:rPr>
            </w:pPr>
          </w:p>
        </w:tc>
        <w:tc>
          <w:tcPr>
            <w:tcW w:w="180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6.1[1.9]</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Post-treatment</w:t>
            </w:r>
          </w:p>
        </w:tc>
        <w:tc>
          <w:tcPr>
            <w:tcW w:w="151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6.5[2.6]</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7.8[1.6]</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6.9[1.8]</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bottom w:val="single" w:sz="12"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Follow-up</w:t>
            </w:r>
          </w:p>
        </w:tc>
        <w:tc>
          <w:tcPr>
            <w:tcW w:w="151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6.7[2.3]</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8[1.8]</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7[2.2]</w:t>
            </w:r>
          </w:p>
          <w:p w:rsidR="00811739" w:rsidRPr="006943BD" w:rsidRDefault="00811739" w:rsidP="00F91F68">
            <w:pPr>
              <w:pStyle w:val="NoSpacing"/>
              <w:jc w:val="center"/>
              <w:rPr>
                <w:sz w:val="16"/>
              </w:rPr>
            </w:pPr>
          </w:p>
        </w:tc>
      </w:tr>
      <w:tr w:rsidR="00811739" w:rsidRPr="006943BD" w:rsidTr="00F91F68">
        <w:tc>
          <w:tcPr>
            <w:tcW w:w="1866" w:type="dxa"/>
            <w:vMerge w:val="restart"/>
            <w:tcBorders>
              <w:top w:val="single" w:sz="12" w:space="0" w:color="auto"/>
              <w:left w:val="single" w:sz="4" w:space="0" w:color="auto"/>
              <w:right w:val="single" w:sz="4" w:space="0" w:color="auto"/>
            </w:tcBorders>
            <w:vAlign w:val="center"/>
          </w:tcPr>
          <w:p w:rsidR="00811739" w:rsidRDefault="00811739" w:rsidP="00F91F68">
            <w:pPr>
              <w:pStyle w:val="NoSpacing"/>
              <w:jc w:val="center"/>
              <w:rPr>
                <w:b/>
                <w:sz w:val="16"/>
              </w:rPr>
            </w:pPr>
            <w:r w:rsidRPr="006943BD">
              <w:rPr>
                <w:b/>
                <w:sz w:val="16"/>
              </w:rPr>
              <w:t>SF-12</w:t>
            </w:r>
          </w:p>
          <w:p w:rsidR="00811739" w:rsidRPr="006943BD" w:rsidRDefault="00811739" w:rsidP="00F91F68">
            <w:pPr>
              <w:pStyle w:val="NoSpacing"/>
              <w:jc w:val="center"/>
              <w:rPr>
                <w:b/>
                <w:sz w:val="16"/>
              </w:rPr>
            </w:pPr>
          </w:p>
          <w:p w:rsidR="00811739" w:rsidRDefault="00811739" w:rsidP="00F91F68">
            <w:pPr>
              <w:pStyle w:val="NoSpacing"/>
              <w:jc w:val="center"/>
              <w:rPr>
                <w:sz w:val="16"/>
              </w:rPr>
            </w:pPr>
          </w:p>
          <w:p w:rsidR="00811739" w:rsidRPr="00F84C54" w:rsidRDefault="00811739" w:rsidP="00F91F68">
            <w:pPr>
              <w:pStyle w:val="NoSpacing"/>
              <w:jc w:val="center"/>
              <w:rPr>
                <w:b/>
                <w:sz w:val="16"/>
              </w:rPr>
            </w:pPr>
          </w:p>
        </w:tc>
        <w:tc>
          <w:tcPr>
            <w:tcW w:w="1289"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Baseline</w:t>
            </w:r>
          </w:p>
        </w:tc>
        <w:tc>
          <w:tcPr>
            <w:tcW w:w="151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27.9[3.2]</w:t>
            </w:r>
          </w:p>
          <w:p w:rsidR="00811739" w:rsidRPr="006943BD" w:rsidRDefault="00811739" w:rsidP="00F91F68">
            <w:pPr>
              <w:pStyle w:val="NoSpacing"/>
              <w:jc w:val="center"/>
              <w:rPr>
                <w:sz w:val="16"/>
              </w:rPr>
            </w:pPr>
          </w:p>
        </w:tc>
        <w:tc>
          <w:tcPr>
            <w:tcW w:w="1743"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26.5[3]</w:t>
            </w:r>
          </w:p>
          <w:p w:rsidR="00811739" w:rsidRPr="006943BD" w:rsidRDefault="00811739" w:rsidP="00F91F68">
            <w:pPr>
              <w:pStyle w:val="NoSpacing"/>
              <w:jc w:val="center"/>
              <w:rPr>
                <w:sz w:val="16"/>
              </w:rPr>
            </w:pPr>
          </w:p>
        </w:tc>
        <w:tc>
          <w:tcPr>
            <w:tcW w:w="1800" w:type="dxa"/>
            <w:tcBorders>
              <w:top w:val="single" w:sz="12"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28.9[2.9]</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Post-treatment</w:t>
            </w:r>
          </w:p>
        </w:tc>
        <w:tc>
          <w:tcPr>
            <w:tcW w:w="151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29.2[4.1]</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27.6[3.3]</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811739" w:rsidRDefault="00811739" w:rsidP="00F91F68">
            <w:pPr>
              <w:pStyle w:val="NoSpacing"/>
              <w:jc w:val="center"/>
              <w:rPr>
                <w:sz w:val="16"/>
              </w:rPr>
            </w:pPr>
            <w:r>
              <w:rPr>
                <w:sz w:val="16"/>
              </w:rPr>
              <w:t>29.1[3.9]</w:t>
            </w:r>
          </w:p>
          <w:p w:rsidR="00811739" w:rsidRPr="006943BD" w:rsidRDefault="00811739" w:rsidP="00F91F68">
            <w:pPr>
              <w:pStyle w:val="NoSpacing"/>
              <w:jc w:val="center"/>
              <w:rPr>
                <w:sz w:val="16"/>
              </w:rPr>
            </w:pPr>
          </w:p>
        </w:tc>
      </w:tr>
      <w:tr w:rsidR="00811739" w:rsidRPr="006943BD" w:rsidTr="00F91F68">
        <w:tc>
          <w:tcPr>
            <w:tcW w:w="1866" w:type="dxa"/>
            <w:vMerge/>
            <w:tcBorders>
              <w:left w:val="single" w:sz="4" w:space="0" w:color="auto"/>
              <w:bottom w:val="single" w:sz="12" w:space="0" w:color="auto"/>
              <w:right w:val="single" w:sz="4" w:space="0" w:color="auto"/>
            </w:tcBorders>
          </w:tcPr>
          <w:p w:rsidR="00811739" w:rsidRPr="00F84C54" w:rsidRDefault="00811739" w:rsidP="00F91F68">
            <w:pPr>
              <w:pStyle w:val="NoSpacing"/>
              <w:rPr>
                <w:b/>
                <w:sz w:val="16"/>
              </w:rPr>
            </w:pPr>
          </w:p>
        </w:tc>
        <w:tc>
          <w:tcPr>
            <w:tcW w:w="1289"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Follow-up</w:t>
            </w:r>
          </w:p>
        </w:tc>
        <w:tc>
          <w:tcPr>
            <w:tcW w:w="151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29.4[3.7]</w:t>
            </w:r>
          </w:p>
          <w:p w:rsidR="00811739" w:rsidRPr="006943BD" w:rsidRDefault="00811739" w:rsidP="00F91F68">
            <w:pPr>
              <w:pStyle w:val="NoSpacing"/>
              <w:jc w:val="center"/>
              <w:rPr>
                <w:sz w:val="16"/>
              </w:rPr>
            </w:pPr>
          </w:p>
        </w:tc>
        <w:tc>
          <w:tcPr>
            <w:tcW w:w="1743"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28.3[3.1]</w:t>
            </w:r>
          </w:p>
          <w:p w:rsidR="00811739" w:rsidRPr="006943BD" w:rsidRDefault="00811739" w:rsidP="00F91F68">
            <w:pPr>
              <w:pStyle w:val="NoSpacing"/>
              <w:jc w:val="center"/>
              <w:rPr>
                <w:sz w:val="16"/>
              </w:rPr>
            </w:pPr>
          </w:p>
        </w:tc>
        <w:tc>
          <w:tcPr>
            <w:tcW w:w="1800" w:type="dxa"/>
            <w:tcBorders>
              <w:top w:val="single" w:sz="4" w:space="0" w:color="auto"/>
              <w:left w:val="single" w:sz="4" w:space="0" w:color="auto"/>
              <w:bottom w:val="single" w:sz="12" w:space="0" w:color="auto"/>
              <w:right w:val="single" w:sz="4" w:space="0" w:color="auto"/>
            </w:tcBorders>
            <w:vAlign w:val="center"/>
          </w:tcPr>
          <w:p w:rsidR="00811739" w:rsidRDefault="00811739" w:rsidP="00F91F68">
            <w:pPr>
              <w:pStyle w:val="NoSpacing"/>
              <w:jc w:val="center"/>
              <w:rPr>
                <w:sz w:val="16"/>
              </w:rPr>
            </w:pPr>
            <w:r>
              <w:rPr>
                <w:sz w:val="16"/>
              </w:rPr>
              <w:t>27.4[4]</w:t>
            </w:r>
          </w:p>
          <w:p w:rsidR="00811739" w:rsidRPr="006943BD" w:rsidRDefault="00811739" w:rsidP="00F91F68">
            <w:pPr>
              <w:pStyle w:val="NoSpacing"/>
              <w:jc w:val="center"/>
              <w:rPr>
                <w:sz w:val="16"/>
              </w:rPr>
            </w:pPr>
          </w:p>
        </w:tc>
      </w:tr>
      <w:tr w:rsidR="00811739" w:rsidRPr="006943BD" w:rsidTr="00F91F68">
        <w:tc>
          <w:tcPr>
            <w:tcW w:w="1866" w:type="dxa"/>
            <w:vMerge w:val="restart"/>
            <w:tcBorders>
              <w:top w:val="single" w:sz="12" w:space="0" w:color="auto"/>
            </w:tcBorders>
            <w:vAlign w:val="center"/>
          </w:tcPr>
          <w:p w:rsidR="00811739" w:rsidRDefault="00811739" w:rsidP="00F91F68">
            <w:pPr>
              <w:pStyle w:val="NoSpacing"/>
              <w:ind w:right="80"/>
              <w:jc w:val="center"/>
              <w:rPr>
                <w:b/>
                <w:sz w:val="16"/>
              </w:rPr>
            </w:pPr>
            <w:r>
              <w:rPr>
                <w:b/>
                <w:sz w:val="16"/>
              </w:rPr>
              <w:t>Functional ambulation classification</w:t>
            </w:r>
          </w:p>
          <w:p w:rsidR="00811739" w:rsidRPr="00FB405E" w:rsidRDefault="00811739" w:rsidP="00F91F68">
            <w:pPr>
              <w:pStyle w:val="NoSpacing"/>
              <w:ind w:right="80"/>
              <w:jc w:val="center"/>
              <w:rPr>
                <w:sz w:val="16"/>
              </w:rPr>
            </w:pPr>
            <w:r w:rsidRPr="00FB405E">
              <w:rPr>
                <w:sz w:val="16"/>
              </w:rPr>
              <w:t>N (%)</w:t>
            </w:r>
          </w:p>
          <w:p w:rsidR="00811739" w:rsidRPr="006943BD" w:rsidRDefault="00811739" w:rsidP="00F91F68">
            <w:pPr>
              <w:pStyle w:val="NoSpacing"/>
              <w:ind w:right="80"/>
              <w:jc w:val="center"/>
              <w:rPr>
                <w:b/>
                <w:sz w:val="16"/>
              </w:rPr>
            </w:pPr>
          </w:p>
          <w:p w:rsidR="00811739" w:rsidRDefault="00811739" w:rsidP="00F91F68">
            <w:pPr>
              <w:pStyle w:val="NoSpacing"/>
              <w:jc w:val="center"/>
              <w:rPr>
                <w:sz w:val="16"/>
              </w:rPr>
            </w:pPr>
            <w:r>
              <w:rPr>
                <w:sz w:val="16"/>
              </w:rPr>
              <w:t>3: dependent level 4: dependent supervision</w:t>
            </w:r>
          </w:p>
          <w:p w:rsidR="00811739" w:rsidRDefault="00811739" w:rsidP="00F91F68">
            <w:pPr>
              <w:pStyle w:val="NoSpacing"/>
              <w:jc w:val="center"/>
              <w:rPr>
                <w:sz w:val="16"/>
              </w:rPr>
            </w:pPr>
            <w:r>
              <w:rPr>
                <w:sz w:val="16"/>
              </w:rPr>
              <w:t>5:independent level surface only</w:t>
            </w:r>
          </w:p>
          <w:p w:rsidR="00811739" w:rsidRPr="006943BD" w:rsidRDefault="00811739" w:rsidP="00F91F68">
            <w:pPr>
              <w:pStyle w:val="NoSpacing"/>
              <w:jc w:val="center"/>
              <w:rPr>
                <w:sz w:val="16"/>
              </w:rPr>
            </w:pPr>
            <w:r>
              <w:rPr>
                <w:sz w:val="16"/>
              </w:rPr>
              <w:t>6: independent level and non-level surface</w:t>
            </w:r>
          </w:p>
        </w:tc>
        <w:tc>
          <w:tcPr>
            <w:tcW w:w="1289" w:type="dxa"/>
            <w:tcBorders>
              <w:top w:val="single" w:sz="12" w:space="0" w:color="auto"/>
            </w:tcBorders>
            <w:vAlign w:val="center"/>
          </w:tcPr>
          <w:p w:rsidR="00811739" w:rsidRDefault="00811739" w:rsidP="00F91F68">
            <w:pPr>
              <w:pStyle w:val="NoSpacing"/>
              <w:jc w:val="center"/>
              <w:rPr>
                <w:sz w:val="16"/>
              </w:rPr>
            </w:pPr>
            <w:r>
              <w:rPr>
                <w:sz w:val="16"/>
              </w:rPr>
              <w:t>Baseline</w:t>
            </w:r>
          </w:p>
        </w:tc>
        <w:tc>
          <w:tcPr>
            <w:tcW w:w="1510" w:type="dxa"/>
            <w:tcBorders>
              <w:top w:val="single" w:sz="12" w:space="0" w:color="auto"/>
            </w:tcBorders>
            <w:vAlign w:val="center"/>
          </w:tcPr>
          <w:p w:rsidR="00811739" w:rsidRDefault="00811739" w:rsidP="00F91F68">
            <w:pPr>
              <w:pStyle w:val="NoSpacing"/>
              <w:jc w:val="center"/>
              <w:rPr>
                <w:sz w:val="16"/>
              </w:rPr>
            </w:pPr>
            <w:r>
              <w:rPr>
                <w:sz w:val="16"/>
              </w:rPr>
              <w:t>0</w:t>
            </w:r>
          </w:p>
          <w:p w:rsidR="00811739" w:rsidRDefault="00811739" w:rsidP="00F91F68">
            <w:pPr>
              <w:pStyle w:val="NoSpacing"/>
              <w:jc w:val="center"/>
              <w:rPr>
                <w:sz w:val="16"/>
              </w:rPr>
            </w:pPr>
            <w:r>
              <w:rPr>
                <w:sz w:val="16"/>
              </w:rPr>
              <w:t>2(11.1%)</w:t>
            </w:r>
          </w:p>
          <w:p w:rsidR="00811739" w:rsidRDefault="00811739" w:rsidP="00F91F68">
            <w:pPr>
              <w:pStyle w:val="NoSpacing"/>
              <w:jc w:val="center"/>
              <w:rPr>
                <w:sz w:val="16"/>
              </w:rPr>
            </w:pPr>
            <w:r>
              <w:rPr>
                <w:sz w:val="16"/>
              </w:rPr>
              <w:t>14(77.8%)</w:t>
            </w:r>
          </w:p>
          <w:p w:rsidR="00811739" w:rsidRPr="006943BD" w:rsidRDefault="00811739" w:rsidP="00F91F68">
            <w:pPr>
              <w:pStyle w:val="NoSpacing"/>
              <w:jc w:val="center"/>
              <w:rPr>
                <w:sz w:val="16"/>
              </w:rPr>
            </w:pPr>
            <w:r>
              <w:rPr>
                <w:sz w:val="16"/>
              </w:rPr>
              <w:t>2(11.1%)</w:t>
            </w:r>
          </w:p>
        </w:tc>
        <w:tc>
          <w:tcPr>
            <w:tcW w:w="1743" w:type="dxa"/>
            <w:tcBorders>
              <w:top w:val="single" w:sz="12" w:space="0" w:color="auto"/>
            </w:tcBorders>
            <w:vAlign w:val="center"/>
          </w:tcPr>
          <w:p w:rsidR="00811739" w:rsidRDefault="00811739" w:rsidP="00F91F68">
            <w:pPr>
              <w:pStyle w:val="NoSpacing"/>
              <w:jc w:val="center"/>
              <w:rPr>
                <w:sz w:val="16"/>
              </w:rPr>
            </w:pPr>
            <w:r>
              <w:rPr>
                <w:sz w:val="16"/>
              </w:rPr>
              <w:t>1(5.3%)</w:t>
            </w:r>
          </w:p>
          <w:p w:rsidR="00811739" w:rsidRDefault="00811739" w:rsidP="00F91F68">
            <w:pPr>
              <w:pStyle w:val="NoSpacing"/>
              <w:jc w:val="center"/>
              <w:rPr>
                <w:sz w:val="16"/>
              </w:rPr>
            </w:pPr>
            <w:r>
              <w:rPr>
                <w:sz w:val="16"/>
              </w:rPr>
              <w:t>3(15.8%)</w:t>
            </w:r>
          </w:p>
          <w:p w:rsidR="00811739" w:rsidRDefault="00811739" w:rsidP="00F91F68">
            <w:pPr>
              <w:pStyle w:val="NoSpacing"/>
              <w:jc w:val="center"/>
              <w:rPr>
                <w:sz w:val="16"/>
              </w:rPr>
            </w:pPr>
            <w:r>
              <w:rPr>
                <w:sz w:val="16"/>
              </w:rPr>
              <w:t>10(52.6%)</w:t>
            </w:r>
          </w:p>
          <w:p w:rsidR="00811739" w:rsidRPr="006943BD" w:rsidRDefault="00811739" w:rsidP="00F91F68">
            <w:pPr>
              <w:pStyle w:val="NoSpacing"/>
              <w:jc w:val="center"/>
              <w:rPr>
                <w:sz w:val="16"/>
              </w:rPr>
            </w:pPr>
            <w:r>
              <w:rPr>
                <w:sz w:val="16"/>
              </w:rPr>
              <w:t>5(26.3%)</w:t>
            </w:r>
          </w:p>
        </w:tc>
        <w:tc>
          <w:tcPr>
            <w:tcW w:w="1800" w:type="dxa"/>
            <w:tcBorders>
              <w:top w:val="single" w:sz="12" w:space="0" w:color="auto"/>
            </w:tcBorders>
            <w:vAlign w:val="center"/>
          </w:tcPr>
          <w:p w:rsidR="00811739" w:rsidRDefault="00811739" w:rsidP="00F91F68">
            <w:pPr>
              <w:pStyle w:val="NoSpacing"/>
              <w:jc w:val="center"/>
              <w:rPr>
                <w:sz w:val="16"/>
              </w:rPr>
            </w:pPr>
            <w:r>
              <w:rPr>
                <w:sz w:val="16"/>
              </w:rPr>
              <w:t>2(10.5%)</w:t>
            </w:r>
          </w:p>
          <w:p w:rsidR="00811739" w:rsidRDefault="00811739" w:rsidP="00F91F68">
            <w:pPr>
              <w:pStyle w:val="NoSpacing"/>
              <w:jc w:val="center"/>
              <w:rPr>
                <w:sz w:val="16"/>
              </w:rPr>
            </w:pPr>
            <w:r>
              <w:rPr>
                <w:sz w:val="16"/>
              </w:rPr>
              <w:t>5(26.3%)</w:t>
            </w:r>
          </w:p>
          <w:p w:rsidR="00811739" w:rsidRDefault="00811739" w:rsidP="00F91F68">
            <w:pPr>
              <w:pStyle w:val="NoSpacing"/>
              <w:jc w:val="center"/>
              <w:rPr>
                <w:sz w:val="16"/>
              </w:rPr>
            </w:pPr>
            <w:r>
              <w:rPr>
                <w:sz w:val="16"/>
              </w:rPr>
              <w:t>5(26.3%)</w:t>
            </w:r>
          </w:p>
          <w:p w:rsidR="00811739" w:rsidRPr="006943BD" w:rsidRDefault="00811739" w:rsidP="00F91F68">
            <w:pPr>
              <w:pStyle w:val="NoSpacing"/>
              <w:jc w:val="center"/>
              <w:rPr>
                <w:sz w:val="16"/>
              </w:rPr>
            </w:pPr>
            <w:r>
              <w:rPr>
                <w:sz w:val="16"/>
              </w:rPr>
              <w:t>7(36.8%)</w:t>
            </w:r>
          </w:p>
        </w:tc>
      </w:tr>
      <w:tr w:rsidR="00811739" w:rsidRPr="006943BD" w:rsidTr="00F91F68">
        <w:tc>
          <w:tcPr>
            <w:tcW w:w="1866" w:type="dxa"/>
            <w:vMerge/>
          </w:tcPr>
          <w:p w:rsidR="00811739" w:rsidRPr="006943BD" w:rsidRDefault="00811739" w:rsidP="00F91F68">
            <w:pPr>
              <w:pStyle w:val="NoSpacing"/>
              <w:spacing w:line="480" w:lineRule="auto"/>
              <w:jc w:val="right"/>
              <w:rPr>
                <w:sz w:val="16"/>
              </w:rPr>
            </w:pPr>
          </w:p>
        </w:tc>
        <w:tc>
          <w:tcPr>
            <w:tcW w:w="1289" w:type="dxa"/>
            <w:vAlign w:val="center"/>
          </w:tcPr>
          <w:p w:rsidR="00811739" w:rsidRDefault="00811739" w:rsidP="00F91F68">
            <w:pPr>
              <w:pStyle w:val="NoSpacing"/>
              <w:jc w:val="center"/>
              <w:rPr>
                <w:sz w:val="16"/>
              </w:rPr>
            </w:pPr>
            <w:r>
              <w:rPr>
                <w:sz w:val="16"/>
              </w:rPr>
              <w:t>Post-treatment</w:t>
            </w:r>
          </w:p>
        </w:tc>
        <w:tc>
          <w:tcPr>
            <w:tcW w:w="1510" w:type="dxa"/>
            <w:vAlign w:val="center"/>
          </w:tcPr>
          <w:p w:rsidR="00811739" w:rsidRDefault="00811739" w:rsidP="00F91F68">
            <w:pPr>
              <w:pStyle w:val="NoSpacing"/>
              <w:jc w:val="center"/>
              <w:rPr>
                <w:sz w:val="16"/>
              </w:rPr>
            </w:pPr>
            <w:r>
              <w:rPr>
                <w:sz w:val="16"/>
              </w:rPr>
              <w:t>1(8.3%)</w:t>
            </w:r>
          </w:p>
          <w:p w:rsidR="00811739" w:rsidRDefault="00811739" w:rsidP="00F91F68">
            <w:pPr>
              <w:pStyle w:val="NoSpacing"/>
              <w:jc w:val="center"/>
              <w:rPr>
                <w:sz w:val="16"/>
              </w:rPr>
            </w:pPr>
            <w:r>
              <w:rPr>
                <w:sz w:val="16"/>
              </w:rPr>
              <w:t>0</w:t>
            </w:r>
          </w:p>
          <w:p w:rsidR="00811739" w:rsidRDefault="00811739" w:rsidP="00F91F68">
            <w:pPr>
              <w:pStyle w:val="NoSpacing"/>
              <w:jc w:val="center"/>
              <w:rPr>
                <w:sz w:val="16"/>
              </w:rPr>
            </w:pPr>
            <w:r>
              <w:rPr>
                <w:sz w:val="16"/>
              </w:rPr>
              <w:t>8(66.7%)</w:t>
            </w:r>
          </w:p>
          <w:p w:rsidR="00811739" w:rsidRPr="006943BD" w:rsidRDefault="00811739" w:rsidP="00F91F68">
            <w:pPr>
              <w:pStyle w:val="NoSpacing"/>
              <w:jc w:val="center"/>
              <w:rPr>
                <w:sz w:val="16"/>
              </w:rPr>
            </w:pPr>
            <w:r>
              <w:rPr>
                <w:sz w:val="16"/>
              </w:rPr>
              <w:t>3(25)</w:t>
            </w:r>
          </w:p>
        </w:tc>
        <w:tc>
          <w:tcPr>
            <w:tcW w:w="1743" w:type="dxa"/>
            <w:vAlign w:val="center"/>
          </w:tcPr>
          <w:p w:rsidR="00811739" w:rsidRDefault="00811739" w:rsidP="00F91F68">
            <w:pPr>
              <w:pStyle w:val="NoSpacing"/>
              <w:jc w:val="center"/>
              <w:rPr>
                <w:sz w:val="16"/>
              </w:rPr>
            </w:pPr>
            <w:r>
              <w:rPr>
                <w:sz w:val="16"/>
              </w:rPr>
              <w:t>0</w:t>
            </w:r>
          </w:p>
          <w:p w:rsidR="00811739" w:rsidRDefault="00811739" w:rsidP="00F91F68">
            <w:pPr>
              <w:pStyle w:val="NoSpacing"/>
              <w:jc w:val="center"/>
              <w:rPr>
                <w:sz w:val="16"/>
              </w:rPr>
            </w:pPr>
            <w:r>
              <w:rPr>
                <w:sz w:val="16"/>
              </w:rPr>
              <w:t>1(8.3%)</w:t>
            </w:r>
          </w:p>
          <w:p w:rsidR="00811739" w:rsidRDefault="00811739" w:rsidP="00F91F68">
            <w:pPr>
              <w:pStyle w:val="NoSpacing"/>
              <w:jc w:val="center"/>
              <w:rPr>
                <w:sz w:val="16"/>
              </w:rPr>
            </w:pPr>
            <w:r>
              <w:rPr>
                <w:sz w:val="16"/>
              </w:rPr>
              <w:t>3(25%)</w:t>
            </w:r>
          </w:p>
          <w:p w:rsidR="00811739" w:rsidRPr="006943BD" w:rsidRDefault="00811739" w:rsidP="00F91F68">
            <w:pPr>
              <w:pStyle w:val="NoSpacing"/>
              <w:jc w:val="center"/>
              <w:rPr>
                <w:sz w:val="16"/>
              </w:rPr>
            </w:pPr>
            <w:r>
              <w:rPr>
                <w:sz w:val="16"/>
              </w:rPr>
              <w:t>8(66.7%)</w:t>
            </w:r>
          </w:p>
        </w:tc>
        <w:tc>
          <w:tcPr>
            <w:tcW w:w="1800" w:type="dxa"/>
            <w:vAlign w:val="center"/>
          </w:tcPr>
          <w:p w:rsidR="00811739" w:rsidRDefault="00811739" w:rsidP="00F91F68">
            <w:pPr>
              <w:pStyle w:val="NoSpacing"/>
              <w:jc w:val="center"/>
              <w:rPr>
                <w:sz w:val="16"/>
              </w:rPr>
            </w:pPr>
            <w:r>
              <w:rPr>
                <w:sz w:val="16"/>
              </w:rPr>
              <w:t>0</w:t>
            </w:r>
          </w:p>
          <w:p w:rsidR="00811739" w:rsidRDefault="00811739" w:rsidP="00F91F68">
            <w:pPr>
              <w:pStyle w:val="NoSpacing"/>
              <w:jc w:val="center"/>
              <w:rPr>
                <w:sz w:val="16"/>
              </w:rPr>
            </w:pPr>
            <w:r>
              <w:rPr>
                <w:sz w:val="16"/>
              </w:rPr>
              <w:t>1(7.7%)</w:t>
            </w:r>
          </w:p>
          <w:p w:rsidR="00811739" w:rsidRDefault="00811739" w:rsidP="00F91F68">
            <w:pPr>
              <w:pStyle w:val="NoSpacing"/>
              <w:jc w:val="center"/>
              <w:rPr>
                <w:sz w:val="16"/>
              </w:rPr>
            </w:pPr>
            <w:r>
              <w:rPr>
                <w:sz w:val="16"/>
              </w:rPr>
              <w:t>6(46.2%)</w:t>
            </w:r>
          </w:p>
          <w:p w:rsidR="00811739" w:rsidRPr="006943BD" w:rsidRDefault="00811739" w:rsidP="00F91F68">
            <w:pPr>
              <w:pStyle w:val="NoSpacing"/>
              <w:jc w:val="center"/>
              <w:rPr>
                <w:sz w:val="16"/>
              </w:rPr>
            </w:pPr>
            <w:r>
              <w:rPr>
                <w:sz w:val="16"/>
              </w:rPr>
              <w:t>6(46.2%)</w:t>
            </w:r>
          </w:p>
        </w:tc>
      </w:tr>
      <w:tr w:rsidR="00811739" w:rsidRPr="006943BD" w:rsidTr="00F91F68">
        <w:trPr>
          <w:trHeight w:val="507"/>
        </w:trPr>
        <w:tc>
          <w:tcPr>
            <w:tcW w:w="1866" w:type="dxa"/>
            <w:vMerge/>
          </w:tcPr>
          <w:p w:rsidR="00811739" w:rsidRPr="006811BA" w:rsidRDefault="00811739" w:rsidP="00F91F68">
            <w:pPr>
              <w:pStyle w:val="NoSpacing"/>
              <w:spacing w:line="480" w:lineRule="auto"/>
              <w:jc w:val="right"/>
              <w:rPr>
                <w:sz w:val="16"/>
              </w:rPr>
            </w:pPr>
          </w:p>
        </w:tc>
        <w:tc>
          <w:tcPr>
            <w:tcW w:w="1289" w:type="dxa"/>
            <w:vAlign w:val="center"/>
          </w:tcPr>
          <w:p w:rsidR="00811739" w:rsidRDefault="00811739" w:rsidP="00F91F68">
            <w:pPr>
              <w:pStyle w:val="NoSpacing"/>
              <w:contextualSpacing/>
              <w:jc w:val="center"/>
              <w:rPr>
                <w:sz w:val="16"/>
              </w:rPr>
            </w:pPr>
            <w:r>
              <w:rPr>
                <w:sz w:val="16"/>
              </w:rPr>
              <w:t>Follow-up</w:t>
            </w:r>
          </w:p>
        </w:tc>
        <w:tc>
          <w:tcPr>
            <w:tcW w:w="1510" w:type="dxa"/>
            <w:vAlign w:val="center"/>
          </w:tcPr>
          <w:p w:rsidR="00811739" w:rsidRDefault="00811739" w:rsidP="00F91F68">
            <w:pPr>
              <w:pStyle w:val="NoSpacing"/>
              <w:contextualSpacing/>
              <w:jc w:val="center"/>
              <w:rPr>
                <w:sz w:val="16"/>
              </w:rPr>
            </w:pPr>
            <w:r>
              <w:rPr>
                <w:sz w:val="16"/>
              </w:rPr>
              <w:t>0</w:t>
            </w:r>
          </w:p>
          <w:p w:rsidR="00811739" w:rsidRDefault="00811739" w:rsidP="00F91F68">
            <w:pPr>
              <w:pStyle w:val="NoSpacing"/>
              <w:contextualSpacing/>
              <w:jc w:val="center"/>
              <w:rPr>
                <w:sz w:val="16"/>
              </w:rPr>
            </w:pPr>
            <w:r>
              <w:rPr>
                <w:sz w:val="16"/>
              </w:rPr>
              <w:t>0</w:t>
            </w:r>
          </w:p>
          <w:p w:rsidR="00811739" w:rsidRDefault="00811739" w:rsidP="00F91F68">
            <w:pPr>
              <w:pStyle w:val="NoSpacing"/>
              <w:contextualSpacing/>
              <w:jc w:val="center"/>
              <w:rPr>
                <w:sz w:val="16"/>
              </w:rPr>
            </w:pPr>
            <w:r>
              <w:rPr>
                <w:sz w:val="16"/>
              </w:rPr>
              <w:t>5(45.5%)</w:t>
            </w:r>
          </w:p>
          <w:p w:rsidR="00811739" w:rsidRPr="006943BD" w:rsidRDefault="00811739" w:rsidP="00F91F68">
            <w:pPr>
              <w:pStyle w:val="NoSpacing"/>
              <w:contextualSpacing/>
              <w:jc w:val="center"/>
              <w:rPr>
                <w:sz w:val="16"/>
              </w:rPr>
            </w:pPr>
            <w:r>
              <w:rPr>
                <w:sz w:val="16"/>
              </w:rPr>
              <w:t>6(54.5%)</w:t>
            </w:r>
          </w:p>
        </w:tc>
        <w:tc>
          <w:tcPr>
            <w:tcW w:w="1743" w:type="dxa"/>
            <w:vAlign w:val="center"/>
          </w:tcPr>
          <w:p w:rsidR="00811739" w:rsidRDefault="00811739" w:rsidP="00F91F68">
            <w:pPr>
              <w:pStyle w:val="NoSpacing"/>
              <w:contextualSpacing/>
              <w:jc w:val="center"/>
              <w:rPr>
                <w:sz w:val="16"/>
              </w:rPr>
            </w:pPr>
            <w:r>
              <w:rPr>
                <w:sz w:val="16"/>
              </w:rPr>
              <w:t>0</w:t>
            </w:r>
          </w:p>
          <w:p w:rsidR="00811739" w:rsidRDefault="00811739" w:rsidP="00F91F68">
            <w:pPr>
              <w:pStyle w:val="NoSpacing"/>
              <w:contextualSpacing/>
              <w:jc w:val="center"/>
              <w:rPr>
                <w:sz w:val="16"/>
              </w:rPr>
            </w:pPr>
            <w:r>
              <w:rPr>
                <w:sz w:val="16"/>
              </w:rPr>
              <w:t>1(10%)</w:t>
            </w:r>
          </w:p>
          <w:p w:rsidR="00811739" w:rsidRDefault="00811739" w:rsidP="00F91F68">
            <w:pPr>
              <w:pStyle w:val="NoSpacing"/>
              <w:contextualSpacing/>
              <w:jc w:val="center"/>
              <w:rPr>
                <w:sz w:val="16"/>
              </w:rPr>
            </w:pPr>
            <w:r>
              <w:rPr>
                <w:sz w:val="16"/>
              </w:rPr>
              <w:t>1(10%)</w:t>
            </w:r>
          </w:p>
          <w:p w:rsidR="00811739" w:rsidRPr="006943BD" w:rsidRDefault="00811739" w:rsidP="00F91F68">
            <w:pPr>
              <w:pStyle w:val="NoSpacing"/>
              <w:contextualSpacing/>
              <w:jc w:val="center"/>
              <w:rPr>
                <w:sz w:val="16"/>
              </w:rPr>
            </w:pPr>
            <w:r>
              <w:rPr>
                <w:sz w:val="16"/>
              </w:rPr>
              <w:t>8(80%)</w:t>
            </w:r>
          </w:p>
        </w:tc>
        <w:tc>
          <w:tcPr>
            <w:tcW w:w="1800" w:type="dxa"/>
            <w:vAlign w:val="center"/>
          </w:tcPr>
          <w:p w:rsidR="00811739" w:rsidRDefault="00811739" w:rsidP="00F91F68">
            <w:pPr>
              <w:pStyle w:val="NoSpacing"/>
              <w:contextualSpacing/>
              <w:jc w:val="center"/>
              <w:rPr>
                <w:sz w:val="16"/>
              </w:rPr>
            </w:pPr>
            <w:r>
              <w:rPr>
                <w:sz w:val="16"/>
              </w:rPr>
              <w:t>0</w:t>
            </w:r>
          </w:p>
          <w:p w:rsidR="00811739" w:rsidRDefault="00811739" w:rsidP="00F91F68">
            <w:pPr>
              <w:pStyle w:val="NoSpacing"/>
              <w:contextualSpacing/>
              <w:jc w:val="center"/>
              <w:rPr>
                <w:sz w:val="16"/>
              </w:rPr>
            </w:pPr>
            <w:r>
              <w:rPr>
                <w:sz w:val="16"/>
              </w:rPr>
              <w:t>1(7.7%)</w:t>
            </w:r>
          </w:p>
          <w:p w:rsidR="00811739" w:rsidRDefault="00811739" w:rsidP="00F91F68">
            <w:pPr>
              <w:pStyle w:val="NoSpacing"/>
              <w:contextualSpacing/>
              <w:jc w:val="center"/>
              <w:rPr>
                <w:sz w:val="16"/>
              </w:rPr>
            </w:pPr>
            <w:r>
              <w:rPr>
                <w:sz w:val="16"/>
              </w:rPr>
              <w:t>4(30.8%)</w:t>
            </w:r>
          </w:p>
          <w:p w:rsidR="00811739" w:rsidRPr="006943BD" w:rsidRDefault="00811739" w:rsidP="00F91F68">
            <w:pPr>
              <w:pStyle w:val="NoSpacing"/>
              <w:contextualSpacing/>
              <w:jc w:val="center"/>
              <w:rPr>
                <w:sz w:val="16"/>
              </w:rPr>
            </w:pPr>
            <w:r>
              <w:rPr>
                <w:sz w:val="16"/>
              </w:rPr>
              <w:t>8(61.5%)</w:t>
            </w:r>
          </w:p>
        </w:tc>
      </w:tr>
    </w:tbl>
    <w:p w:rsidR="00F6293E" w:rsidRDefault="00F6293E" w:rsidP="00B77005"/>
    <w:sectPr w:rsidR="00F62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05"/>
    <w:rsid w:val="00134608"/>
    <w:rsid w:val="001D070F"/>
    <w:rsid w:val="001F4B0D"/>
    <w:rsid w:val="0053781E"/>
    <w:rsid w:val="00811739"/>
    <w:rsid w:val="00B77005"/>
    <w:rsid w:val="00F6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7005"/>
    <w:pPr>
      <w:spacing w:after="0" w:line="240" w:lineRule="auto"/>
    </w:pPr>
    <w:rPr>
      <w:rFonts w:ascii="Arial" w:eastAsia="Calibri" w:hAnsi="Arial" w:cs="Times New Roman"/>
      <w:lang w:eastAsia="en-GB"/>
    </w:rPr>
  </w:style>
  <w:style w:type="character" w:customStyle="1" w:styleId="NoSpacingChar">
    <w:name w:val="No Spacing Char"/>
    <w:basedOn w:val="DefaultParagraphFont"/>
    <w:link w:val="NoSpacing"/>
    <w:uiPriority w:val="1"/>
    <w:rsid w:val="00B77005"/>
    <w:rPr>
      <w:rFonts w:ascii="Arial" w:eastAsia="Calibri"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7005"/>
    <w:pPr>
      <w:spacing w:after="0" w:line="240" w:lineRule="auto"/>
    </w:pPr>
    <w:rPr>
      <w:rFonts w:ascii="Arial" w:eastAsia="Calibri" w:hAnsi="Arial" w:cs="Times New Roman"/>
      <w:lang w:eastAsia="en-GB"/>
    </w:rPr>
  </w:style>
  <w:style w:type="character" w:customStyle="1" w:styleId="NoSpacingChar">
    <w:name w:val="No Spacing Char"/>
    <w:basedOn w:val="DefaultParagraphFont"/>
    <w:link w:val="NoSpacing"/>
    <w:uiPriority w:val="1"/>
    <w:rsid w:val="00B77005"/>
    <w:rPr>
      <w:rFonts w:ascii="Arial" w:eastAsia="Calibri"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3</cp:revision>
  <dcterms:created xsi:type="dcterms:W3CDTF">2015-09-04T08:41:00Z</dcterms:created>
  <dcterms:modified xsi:type="dcterms:W3CDTF">2015-09-04T08:42:00Z</dcterms:modified>
</cp:coreProperties>
</file>