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2229" w14:textId="77777777" w:rsidR="00A06137" w:rsidRPr="00575E19" w:rsidRDefault="00A06137" w:rsidP="00A06137">
      <w:pPr>
        <w:pStyle w:val="Caption"/>
        <w:keepNext/>
        <w:spacing w:line="480" w:lineRule="auto"/>
        <w:rPr>
          <w:szCs w:val="22"/>
        </w:rPr>
      </w:pPr>
      <w:r w:rsidRPr="00575E19">
        <w:rPr>
          <w:rFonts w:cstheme="minorHAnsi"/>
          <w:szCs w:val="22"/>
        </w:rPr>
        <w:t>Table S</w:t>
      </w:r>
      <w:r w:rsidRPr="00575E19">
        <w:rPr>
          <w:rFonts w:cstheme="minorHAnsi"/>
          <w:bCs w:val="0"/>
          <w:szCs w:val="22"/>
        </w:rPr>
        <w:t>1</w:t>
      </w:r>
      <w:r>
        <w:rPr>
          <w:szCs w:val="22"/>
        </w:rPr>
        <w:t>.</w:t>
      </w:r>
      <w:r w:rsidRPr="00575E19">
        <w:rPr>
          <w:szCs w:val="22"/>
        </w:rPr>
        <w:t xml:space="preserve"> </w:t>
      </w:r>
      <w:r>
        <w:rPr>
          <w:szCs w:val="22"/>
        </w:rPr>
        <w:t>Rapid Assay Performance.</w:t>
      </w:r>
      <w:r w:rsidRPr="00575E19">
        <w:rPr>
          <w:szCs w:val="22"/>
        </w:rPr>
        <w:t xml:space="preserve"> Agreement between three rapid tests and reference standard MGIT for detection of resistance for isoniazid (INH), rifampin (RIF), moxifloxacin (MOX), ofloxacin (OFX), amikacin (AMK), kanamycin (KAN), and capreomycin (CAP) </w:t>
      </w:r>
      <w:r w:rsidRPr="00575E19">
        <w:rPr>
          <w:i/>
          <w:szCs w:val="22"/>
        </w:rPr>
        <w:t>Mtb</w:t>
      </w:r>
      <w:r w:rsidRPr="00575E19">
        <w:rPr>
          <w:szCs w:val="22"/>
        </w:rPr>
        <w:t xml:space="preserve"> culture positive specimens.  </w:t>
      </w:r>
    </w:p>
    <w:tbl>
      <w:tblPr>
        <w:tblStyle w:val="ListTable6Colorful-Accent31"/>
        <w:tblW w:w="13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1710"/>
        <w:gridCol w:w="1710"/>
        <w:gridCol w:w="1643"/>
        <w:gridCol w:w="1710"/>
        <w:gridCol w:w="1327"/>
        <w:gridCol w:w="1620"/>
        <w:gridCol w:w="1710"/>
      </w:tblGrid>
      <w:tr w:rsidR="00A06137" w:rsidRPr="00A56118" w14:paraId="07AF7DB6" w14:textId="77777777" w:rsidTr="00182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5D688A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7AAF" w14:textId="77777777" w:rsidR="00A06137" w:rsidRPr="00A56118" w:rsidRDefault="00A06137" w:rsidP="001824D9">
            <w:pPr>
              <w:pStyle w:val="NoSpacing"/>
              <w:ind w:lef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4B7E" w14:textId="77777777" w:rsidR="00A06137" w:rsidRPr="00A56118" w:rsidRDefault="00A06137" w:rsidP="001824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Sensitivity 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D1EE" w14:textId="77777777" w:rsidR="00A06137" w:rsidRPr="00A56118" w:rsidRDefault="00A06137" w:rsidP="001824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Specificity (95% CI)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50EF" w14:textId="77777777" w:rsidR="00A06137" w:rsidRPr="00A56118" w:rsidRDefault="00A06137" w:rsidP="001824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PPV 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A084" w14:textId="77777777" w:rsidR="00A06137" w:rsidRPr="00A56118" w:rsidRDefault="00A06137" w:rsidP="001824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NPV (95% CI)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A90" w14:textId="77777777" w:rsidR="00A06137" w:rsidRPr="00A56118" w:rsidRDefault="00A06137" w:rsidP="001824D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LR+ 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4283" w14:textId="77777777" w:rsidR="00A06137" w:rsidRPr="00A56118" w:rsidRDefault="00A06137" w:rsidP="001824D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LR- (95% CI)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5A28" w14:textId="77777777" w:rsidR="00A06137" w:rsidRPr="00A56118" w:rsidRDefault="00A06137" w:rsidP="00182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Agreement (95% CI)</w:t>
            </w:r>
          </w:p>
        </w:tc>
      </w:tr>
      <w:tr w:rsidR="00A06137" w:rsidRPr="00A56118" w14:paraId="6549FCA6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609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INH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56CF1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LPA (n=790)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1352F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0.939 (0.914, 0.958)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251E6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0.996 (0.977, 1.000)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CA7EA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0.998 (0.987, 1.000)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2A129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0.900 (0.860, 0.930)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83F9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264 (37, 1867)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CDEBE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0.061 (0.043, 0.086)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9FF74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0.959 (0.943, 0.972)</w:t>
            </w:r>
          </w:p>
        </w:tc>
      </w:tr>
      <w:tr w:rsidR="00A06137" w:rsidRPr="00A56118" w14:paraId="7C0DAF37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26E61A4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4BBA7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MODS (n=729)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FBECD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0.970 (0.950, 0.982)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77CBD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0.987 (0.959, 0.997)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93654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0.994 (0.981, 0.998)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5FBEC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0.938 (0.897, 0.964)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6A8B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74 (24, 228)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A4039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0.030 (0.018, 0.050)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9E8980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0.975 (0.960, 0.985)</w:t>
            </w:r>
          </w:p>
        </w:tc>
      </w:tr>
      <w:tr w:rsidR="00A06137" w:rsidRPr="00A56118" w14:paraId="663C540D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07C844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B923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PSQ (n=779)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44CA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0.953 (0.930, 0.968)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C164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0.961 (0.925, 0.981)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E228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0.983 (0.967, 0.992)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07A7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0.895 (0.849, 0.929)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375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24 (13, 46)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756A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0.049 (0.034, 0.072)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290A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0.955 (0.937, 0.968)</w:t>
            </w:r>
          </w:p>
        </w:tc>
      </w:tr>
      <w:tr w:rsidR="00A06137" w:rsidRPr="00A56118" w14:paraId="2B41E73C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462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RIF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F0F64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LPA (n=809)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E365C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0.967 (0.945, 0.980)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848C1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0.979 (0.955, 0.991)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BEC14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0.985 (0.968, 0.993)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C9E8B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0.953 (0.923, 0.972)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2E2F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46 (22, 95)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7AC4C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0.034 (0.021, 0.055)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9B6AD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0.972 (0.957, 0.981)</w:t>
            </w:r>
          </w:p>
        </w:tc>
      </w:tr>
      <w:tr w:rsidR="00A06137" w:rsidRPr="00A56118" w14:paraId="740EF93B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A50C137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11B59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MODS (n=729)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2D9EE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0.996 (0.983, 0.999)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F6CEE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0.978 (0.950, 0.991)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2CEC4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0.987 (0.971, 0.995)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2E2AF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0.992 (0.970, 0.999)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373B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45 (20, 99)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69C3D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0.004 (0.001, 0.018)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D4A6C7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0.989 (0.978, 0.995)</w:t>
            </w:r>
          </w:p>
        </w:tc>
      </w:tr>
      <w:tr w:rsidR="00A06137" w:rsidRPr="00A56118" w14:paraId="2C684C99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C3D92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1508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PSQ (n=661)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ABA5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0.938 (0.911, 0.958)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CDAD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0.991 (0.964, 0.998)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65E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0.995 (0.981, 0.999)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12BB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0.891 (0.843, 0.925)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522C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104 (26, 414)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2B5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0.062 (0.043, 0.089)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7BC7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0.956 (0.937, 0.970)</w:t>
            </w:r>
          </w:p>
        </w:tc>
      </w:tr>
      <w:tr w:rsidR="00A06137" w:rsidRPr="00A56118" w14:paraId="263F98DE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521D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MOX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DF5C8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LPA (n=742)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ACBED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0.955 (0.918, 0.976)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E2DDE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0.990 (0.975, 0.996)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297B5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0.979 (0.949, 0.992)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2D08B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0.978 (0.960, 0.989)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3E0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95 (40, 228)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F5A1F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0.046 (0.026, 0.081)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137A0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0.978 (0.964, 0.987)</w:t>
            </w:r>
          </w:p>
        </w:tc>
      </w:tr>
      <w:tr w:rsidR="00A06137" w:rsidRPr="00A56118" w14:paraId="3C70B386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0D848C6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CC2C0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MODS (n=727)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80C1A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0.978 (0.951, 0.991)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51ECE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0.971 (0.950, 0.984)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BAB1D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0.954 (0.921, 0.974)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04F0C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0.986 (0.969, 0.994)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58F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34 (20, 58)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17EB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0.022 (0.010, 0.049)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36FC10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0.974 (0.959, 0.984)</w:t>
            </w:r>
          </w:p>
        </w:tc>
      </w:tr>
      <w:tr w:rsidR="00A06137" w:rsidRPr="00A56118" w14:paraId="35C8635B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A400FB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8D34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PSQ (n=744)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CC93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0.938 (0.900, 0.962)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DE38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0.983 (0.966, 0.992)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FABC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0.970 (0.939, 0.986)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E9D2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0.965 (0.943, 0.979)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E9DE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55 (28, 110)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B58C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0.064 (0.040, 0.101)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BC23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0.966 (0.950, 0.978)</w:t>
            </w:r>
          </w:p>
        </w:tc>
      </w:tr>
      <w:tr w:rsidR="00A06137" w:rsidRPr="00A56118" w14:paraId="6664A2ED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6F53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OFX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B81D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LPA  (n=742)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1F21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0.959 (0.924, 0.979)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12B9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0.994 (0.981, 0.998)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25F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0.987 (0.960, 0.997)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37A4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0.980 (0.963, 0.990)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048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159 (52, 492)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74F6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0.041 (0.022, 0.076)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88F67C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0.982 (0.969, 0.990)</w:t>
            </w:r>
          </w:p>
        </w:tc>
      </w:tr>
      <w:tr w:rsidR="00A06137" w:rsidRPr="00A56118" w14:paraId="35EEF960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DCB3A8F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8925F55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MODS (n=729)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227C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0.982 (0.957, 0.993)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CA63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0.980 (0.961, 0.990)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FB8D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0.969 (0.939, 0.985)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23EB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0.989 (0.972, 0.996)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416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49 (25, 93)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7867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0.018 (0.008, 0.043)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92EDD5D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0.981 (0.967, 0.989)</w:t>
            </w:r>
          </w:p>
        </w:tc>
      </w:tr>
      <w:tr w:rsidR="00A06137" w:rsidRPr="00A56118" w14:paraId="3EC7A364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E1A162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E759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PSQ (n=745)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0465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0.942 (0.905, 0.965)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5FF9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0.991 (0.977, 0.997)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9FA8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0.985 (0.959, 0.995)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E5D1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0.967 (0.946, 0.980)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7172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111 (42, 294)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F92E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0.059 (0.036, 0.094)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4097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0.973 (0.958, 0.983)</w:t>
            </w:r>
          </w:p>
        </w:tc>
      </w:tr>
      <w:tr w:rsidR="00A06137" w:rsidRPr="00A56118" w14:paraId="2B14B2F0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88F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AMK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E8A2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LPA (n=672)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8204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0.868 (0.740, 0.941)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B444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1.000 (0.992, 1.000)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3BE4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1.000 (0.904, 1.000)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7397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0.989 (0.976, 0.995)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8EC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333F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0.132 (0.066, 0.263)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EC5BE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0.990 (0.978, 0.995)</w:t>
            </w:r>
          </w:p>
        </w:tc>
      </w:tr>
      <w:tr w:rsidR="00A06137" w:rsidRPr="00A56118" w14:paraId="2B5E55D7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54215B68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EBC83CB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MODS (n=729)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C283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0.900 (0.799, 0.955)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E52B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0.995 (0.986, 0.999)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8AB2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0.955 (0.864, 0.988)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B40A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0.989 (0.977, 0.995)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A9F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198 (64, 613)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CA52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0.100 (0.050, 0.203)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0F7F8D59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0.986 (0.974, 0.993)</w:t>
            </w:r>
          </w:p>
        </w:tc>
      </w:tr>
      <w:tr w:rsidR="00A06137" w:rsidRPr="00A56118" w14:paraId="28917E4D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0FF005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E4A1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PSQ (n=801)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D525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0.836 (0.727, 0.909)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D26C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0.993 (0.983, 0.997)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34E2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0.924 (0.825, 0.972)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65B1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0.984 (0.971, 0.991)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BDC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122 (50, 293)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7142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0.166 (0.099, 0.278)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BC80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0.979 (0.966, 0.987)</w:t>
            </w:r>
          </w:p>
        </w:tc>
      </w:tr>
      <w:tr w:rsidR="00A06137" w:rsidRPr="00A56118" w14:paraId="32435148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16ED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KAN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82D3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LPA (n=672)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B4E3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0.479 (0.377, 0.583)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594F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1.000 (0.992, 1.000)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F44E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1.000 (0.904, 1.000)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2E8C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0.920 (0.895, 0.940)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A55F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18AA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0.521 (0.430, 0.631)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7ADB7F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0.926 (0.902, 0.944)</w:t>
            </w:r>
          </w:p>
        </w:tc>
      </w:tr>
      <w:tr w:rsidR="00A06137" w:rsidRPr="00A56118" w14:paraId="716847AA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5B920F32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D5DDB6A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MODS (n=729)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3AB6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0.619 (0.524, 0.705)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43B6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0.998 (0.989, 1.000)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9707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0.986 (0.917, 0.999)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AF52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0.931 (0.908, 0.949)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D71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378 (53, 2693)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0D3F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0.382 (0.304, 0.481)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432F185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0.937 (0.916, 0.953)</w:t>
            </w:r>
          </w:p>
        </w:tc>
      </w:tr>
      <w:tr w:rsidR="00A06137" w:rsidRPr="00A56118" w14:paraId="31A266BC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92487B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7D1D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PSQ (n=801)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80A0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0.504 (0.412, 0.596)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51B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0.993 (0.982, 0.997)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C049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0.924 (0.825, 0.972)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6C1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0.918 (0.896, 0.937)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7158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69 (28, 167)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FF49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0.500 (0.417, 0.598)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3D7B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0.919 (0.897, 0.936)</w:t>
            </w:r>
          </w:p>
        </w:tc>
      </w:tr>
      <w:tr w:rsidR="00A06137" w:rsidRPr="00A56118" w14:paraId="0EB3FBEB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5FA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CAP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E0CD5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LPA (n=672)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F0605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0.863 (0.731, 0.938)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6C1F6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0.997 (0.987, 0.999)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BD389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0.957 (0.840, 0.992)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EE818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0.989 (0.976, 0.995)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279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268 (67, 1073)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1F6D0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0.138 (0.069, 0.274)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64EA6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0.987 (0.974, 0.993)</w:t>
            </w:r>
          </w:p>
        </w:tc>
      </w:tr>
      <w:tr w:rsidR="00A06137" w:rsidRPr="00A56118" w14:paraId="5D30DD01" w14:textId="77777777" w:rsidTr="001824D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9D41008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7DC72" w14:textId="77777777" w:rsidR="00A06137" w:rsidRPr="00A56118" w:rsidRDefault="00A06137" w:rsidP="001824D9">
            <w:pPr>
              <w:pStyle w:val="NoSpacing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MODS (n=729)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0DD93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0.851 (0.738, 0.922)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13A4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0.994 (0.983, 0.998)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58285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0.934 (0.833, 0.979)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D0227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0.985 (0.972, 0.992)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A33" w14:textId="77777777" w:rsidR="00A06137" w:rsidRPr="00A56118" w:rsidRDefault="00A06137" w:rsidP="001824D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141 (53, 376)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AC66F" w14:textId="77777777" w:rsidR="00A06137" w:rsidRPr="00A56118" w:rsidRDefault="00A06137" w:rsidP="001824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0.150 (0.085, 0.266)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2B4632" w14:textId="77777777" w:rsidR="00A06137" w:rsidRPr="00A56118" w:rsidRDefault="00A06137" w:rsidP="001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0.981 (0.967, 0.989)</w:t>
            </w:r>
          </w:p>
        </w:tc>
      </w:tr>
      <w:tr w:rsidR="00A06137" w:rsidRPr="00A56118" w14:paraId="109E85B4" w14:textId="77777777" w:rsidTr="0018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9B69DF" w14:textId="77777777" w:rsidR="00A06137" w:rsidRPr="00A56118" w:rsidRDefault="00A06137" w:rsidP="001824D9">
            <w:pPr>
              <w:pStyle w:val="NoSpacing"/>
              <w:rPr>
                <w:color w:val="auto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692E" w14:textId="77777777" w:rsidR="00A06137" w:rsidRPr="00A56118" w:rsidRDefault="00A06137" w:rsidP="001824D9">
            <w:pPr>
              <w:pStyle w:val="NoSpacing"/>
              <w:ind w:lef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PSQ (n=801)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C308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0.843 (0.732, 0.915)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E207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0.990 (0.979, 0.996)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E20A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0.894 (0.788, 0.953)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55A7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0.985 (0.973, 0.992)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AE1B" w14:textId="77777777" w:rsidR="00A06137" w:rsidRPr="00A56118" w:rsidRDefault="00A06137" w:rsidP="001824D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88 (42, 185)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EB64" w14:textId="77777777" w:rsidR="00A06137" w:rsidRPr="00A56118" w:rsidRDefault="00A06137" w:rsidP="001824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0.159 (0.092, 0.273)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5443" w14:textId="77777777" w:rsidR="00A06137" w:rsidRPr="00A56118" w:rsidRDefault="00A06137" w:rsidP="001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A56118">
              <w:rPr>
                <w:color w:val="auto"/>
                <w:sz w:val="16"/>
                <w:szCs w:val="18"/>
              </w:rPr>
              <w:t>0.978 (0.964, 0.986)</w:t>
            </w:r>
          </w:p>
        </w:tc>
      </w:tr>
    </w:tbl>
    <w:p w14:paraId="740ACA60" w14:textId="4A1F63D4" w:rsidR="005F2EFE" w:rsidRPr="00561AE5" w:rsidRDefault="00A06137" w:rsidP="00561AE5">
      <w:pPr>
        <w:pStyle w:val="Caption"/>
        <w:keepNext/>
        <w:spacing w:after="0" w:line="480" w:lineRule="auto"/>
        <w:rPr>
          <w:sz w:val="20"/>
          <w:szCs w:val="20"/>
        </w:rPr>
      </w:pPr>
      <w:r w:rsidRPr="008D307E">
        <w:rPr>
          <w:sz w:val="20"/>
          <w:szCs w:val="20"/>
        </w:rPr>
        <w:t xml:space="preserve">Sensitivity was calculated as </w:t>
      </w:r>
      <w:r>
        <w:rPr>
          <w:sz w:val="20"/>
          <w:szCs w:val="20"/>
        </w:rPr>
        <w:t>TP/(TP+FN), specificity</w:t>
      </w:r>
      <w:r w:rsidRPr="008D307E">
        <w:rPr>
          <w:sz w:val="20"/>
          <w:szCs w:val="20"/>
        </w:rPr>
        <w:t xml:space="preserve"> as TN/FP+TN), PPV as TP/(TP+FP), NPV as TN/(TN+FN), LR+ as sensitivity/(1-specificity), LR- as (1-sensitivity)/specificity, and accuracy as (TP +TN)/(TN+FN+FP+TP).  Proportion confidence intervals were calculated using the Wald score method with continuity correction.</w:t>
      </w:r>
      <w:bookmarkStart w:id="0" w:name="_GoBack"/>
      <w:bookmarkEnd w:id="0"/>
    </w:p>
    <w:sectPr w:rsidR="005F2EFE" w:rsidRPr="00561AE5" w:rsidSect="00561AE5">
      <w:footerReference w:type="default" r:id="rId6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89EE4" w14:textId="77777777" w:rsidR="00F0014C" w:rsidRDefault="00F0014C">
      <w:r>
        <w:separator/>
      </w:r>
    </w:p>
  </w:endnote>
  <w:endnote w:type="continuationSeparator" w:id="0">
    <w:p w14:paraId="7656D8C7" w14:textId="77777777" w:rsidR="00F0014C" w:rsidRDefault="00F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A06E" w14:textId="77777777" w:rsidR="001824D9" w:rsidRPr="007F6459" w:rsidRDefault="001824D9" w:rsidP="001824D9">
    <w:pPr>
      <w:spacing w:line="480" w:lineRule="auto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B408" w14:textId="77777777" w:rsidR="00F0014C" w:rsidRDefault="00F0014C">
      <w:r>
        <w:separator/>
      </w:r>
    </w:p>
  </w:footnote>
  <w:footnote w:type="continuationSeparator" w:id="0">
    <w:p w14:paraId="25FED063" w14:textId="77777777" w:rsidR="00F0014C" w:rsidRDefault="00F0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1"/>
    <w:rsid w:val="001824D9"/>
    <w:rsid w:val="00370E00"/>
    <w:rsid w:val="003B39EC"/>
    <w:rsid w:val="003D5F41"/>
    <w:rsid w:val="004D1524"/>
    <w:rsid w:val="005318D3"/>
    <w:rsid w:val="00561AE5"/>
    <w:rsid w:val="005F2EFE"/>
    <w:rsid w:val="00A06137"/>
    <w:rsid w:val="00EE68E8"/>
    <w:rsid w:val="00F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43809"/>
  <w14:defaultImageDpi w14:val="300"/>
  <w15:docId w15:val="{252E6F65-43F7-4F89-A20E-38FFB18C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37"/>
  </w:style>
  <w:style w:type="paragraph" w:styleId="Heading1">
    <w:name w:val="heading 1"/>
    <w:basedOn w:val="Normal"/>
    <w:next w:val="Normal"/>
    <w:link w:val="Heading1Char"/>
    <w:uiPriority w:val="9"/>
    <w:qFormat/>
    <w:rsid w:val="00370E00"/>
    <w:pPr>
      <w:keepNext/>
      <w:keepLines/>
      <w:spacing w:before="240" w:after="240" w:line="240" w:lineRule="exact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37"/>
  </w:style>
  <w:style w:type="paragraph" w:styleId="NoSpacing">
    <w:name w:val="No Spacing"/>
    <w:uiPriority w:val="1"/>
    <w:qFormat/>
    <w:rsid w:val="00A06137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A06137"/>
    <w:pPr>
      <w:spacing w:after="120"/>
    </w:pPr>
    <w:rPr>
      <w:bCs/>
      <w:sz w:val="22"/>
      <w:szCs w:val="18"/>
    </w:rPr>
  </w:style>
  <w:style w:type="table" w:customStyle="1" w:styleId="ListTable6Colorful-Accent31">
    <w:name w:val="List Table 6 Colorful - Accent 31"/>
    <w:basedOn w:val="TableNormal"/>
    <w:uiPriority w:val="51"/>
    <w:rsid w:val="00A06137"/>
    <w:rPr>
      <w:rFonts w:eastAsiaTheme="minorHAns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06137"/>
  </w:style>
  <w:style w:type="character" w:customStyle="1" w:styleId="Heading1Char">
    <w:name w:val="Heading 1 Char"/>
    <w:basedOn w:val="DefaultParagraphFont"/>
    <w:link w:val="Heading1"/>
    <w:uiPriority w:val="9"/>
    <w:rsid w:val="00370E00"/>
    <w:rPr>
      <w:rFonts w:eastAsiaTheme="majorEastAsia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Georghiou</dc:creator>
  <cp:keywords/>
  <dc:description/>
  <cp:lastModifiedBy>Donald Catanzaro</cp:lastModifiedBy>
  <cp:revision>3</cp:revision>
  <dcterms:created xsi:type="dcterms:W3CDTF">2015-08-05T04:13:00Z</dcterms:created>
  <dcterms:modified xsi:type="dcterms:W3CDTF">2015-08-05T04:15:00Z</dcterms:modified>
  <cp:category/>
</cp:coreProperties>
</file>