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2B" w:rsidRPr="008F32C6" w:rsidRDefault="005A2795" w:rsidP="00BF7F2B">
      <w:pPr>
        <w:spacing w:line="480" w:lineRule="auto"/>
        <w:rPr>
          <w:b/>
          <w:sz w:val="36"/>
        </w:rPr>
      </w:pPr>
      <w:proofErr w:type="gramStart"/>
      <w:r w:rsidRPr="008F32C6">
        <w:rPr>
          <w:b/>
          <w:sz w:val="36"/>
        </w:rPr>
        <w:t>S1 File.</w:t>
      </w:r>
      <w:proofErr w:type="gramEnd"/>
      <w:r w:rsidRPr="008F32C6">
        <w:rPr>
          <w:b/>
          <w:sz w:val="36"/>
        </w:rPr>
        <w:t xml:space="preserve"> </w:t>
      </w:r>
      <w:proofErr w:type="gramStart"/>
      <w:r w:rsidRPr="008F32C6">
        <w:rPr>
          <w:b/>
          <w:sz w:val="36"/>
        </w:rPr>
        <w:t>S</w:t>
      </w:r>
      <w:bookmarkStart w:id="0" w:name="_GoBack"/>
      <w:bookmarkEnd w:id="0"/>
      <w:r w:rsidRPr="008F32C6">
        <w:rPr>
          <w:b/>
          <w:sz w:val="36"/>
        </w:rPr>
        <w:t xml:space="preserve">upporting Methods for </w:t>
      </w:r>
      <w:r w:rsidR="00BB19F1" w:rsidRPr="008F32C6">
        <w:rPr>
          <w:b/>
          <w:sz w:val="36"/>
        </w:rPr>
        <w:t>Headhunting</w:t>
      </w:r>
      <w:r w:rsidRPr="008F32C6">
        <w:rPr>
          <w:b/>
          <w:sz w:val="36"/>
        </w:rPr>
        <w:t xml:space="preserve"> Example.</w:t>
      </w:r>
      <w:proofErr w:type="gramEnd"/>
    </w:p>
    <w:p w:rsidR="005A2795" w:rsidRPr="005A2795" w:rsidRDefault="00BF7F2B" w:rsidP="00BF7F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The coding criteria for the headhunt</w:t>
      </w:r>
      <w:r w:rsidR="00D96E43">
        <w:rPr>
          <w:sz w:val="24"/>
          <w:szCs w:val="24"/>
        </w:rPr>
        <w:t>ing variable can be found in S1</w:t>
      </w:r>
      <w:r>
        <w:rPr>
          <w:sz w:val="24"/>
          <w:szCs w:val="24"/>
        </w:rPr>
        <w:t xml:space="preserve"> File</w:t>
      </w:r>
      <w:r w:rsidR="006A5939">
        <w:rPr>
          <w:sz w:val="24"/>
          <w:szCs w:val="24"/>
        </w:rPr>
        <w:t xml:space="preserve">. </w:t>
      </w:r>
      <w:r w:rsidR="005A2795" w:rsidRPr="005A2795">
        <w:rPr>
          <w:sz w:val="24"/>
          <w:szCs w:val="24"/>
        </w:rPr>
        <w:t xml:space="preserve">We use </w:t>
      </w:r>
      <w:proofErr w:type="spellStart"/>
      <w:r w:rsidR="00D96E43">
        <w:rPr>
          <w:sz w:val="24"/>
          <w:szCs w:val="24"/>
        </w:rPr>
        <w:t>Gray</w:t>
      </w:r>
      <w:proofErr w:type="spellEnd"/>
      <w:r w:rsidR="00D96E43">
        <w:rPr>
          <w:sz w:val="24"/>
          <w:szCs w:val="24"/>
        </w:rPr>
        <w:t>, Drummond and Greenhill</w:t>
      </w:r>
      <w:r w:rsidR="00D96E43" w:rsidRPr="005A2795">
        <w:rPr>
          <w:sz w:val="24"/>
          <w:szCs w:val="24"/>
        </w:rPr>
        <w:t xml:space="preserve"> </w:t>
      </w:r>
      <w:r w:rsidR="00D96E43" w:rsidRPr="00D96E43">
        <w:rPr>
          <w:noProof/>
          <w:sz w:val="24"/>
          <w:szCs w:val="24"/>
        </w:rPr>
        <w:t>(1)</w:t>
      </w:r>
      <w:r w:rsidR="005A2795" w:rsidRPr="005A2795">
        <w:rPr>
          <w:sz w:val="24"/>
          <w:szCs w:val="24"/>
        </w:rPr>
        <w:t xml:space="preserve"> trees of Austronesian languages, pruning down the original 400 languages to the 88 spoken by Austronesian cultures for which headhunting data is available. </w:t>
      </w:r>
      <w:r w:rsidR="006A5939">
        <w:rPr>
          <w:sz w:val="24"/>
          <w:szCs w:val="24"/>
        </w:rPr>
        <w:t xml:space="preserve">Evidence of headhunting was found in 34 of the cultures sampled. </w:t>
      </w:r>
      <w:r w:rsidR="005A2795" w:rsidRPr="005A2795">
        <w:rPr>
          <w:sz w:val="24"/>
          <w:szCs w:val="24"/>
        </w:rPr>
        <w:t xml:space="preserve">First we tested for a phylogenetic signal in the distribution of Austronesian headhunting using Fritz and Purvis’ </w:t>
      </w:r>
      <w:r w:rsidR="005A2795" w:rsidRPr="005A2795">
        <w:rPr>
          <w:i/>
          <w:sz w:val="24"/>
          <w:szCs w:val="24"/>
        </w:rPr>
        <w:t>D</w:t>
      </w:r>
      <w:r w:rsidR="005A2795" w:rsidRPr="005A2795">
        <w:rPr>
          <w:sz w:val="24"/>
          <w:szCs w:val="24"/>
        </w:rPr>
        <w:t xml:space="preserve"> </w:t>
      </w:r>
      <w:r w:rsidR="00D96E43" w:rsidRPr="00D96E43">
        <w:rPr>
          <w:noProof/>
          <w:sz w:val="24"/>
          <w:szCs w:val="24"/>
        </w:rPr>
        <w:t>(2)</w:t>
      </w:r>
      <w:r w:rsidR="005A2795" w:rsidRPr="005A2795">
        <w:rPr>
          <w:sz w:val="24"/>
          <w:szCs w:val="24"/>
        </w:rPr>
        <w:t xml:space="preserve"> in the R package Caper </w:t>
      </w:r>
      <w:r w:rsidR="00D96E43" w:rsidRPr="00D96E43">
        <w:rPr>
          <w:noProof/>
          <w:sz w:val="24"/>
          <w:szCs w:val="24"/>
        </w:rPr>
        <w:t>(3)</w:t>
      </w:r>
      <w:r w:rsidR="005A2795" w:rsidRPr="005A2795">
        <w:rPr>
          <w:sz w:val="24"/>
          <w:szCs w:val="24"/>
        </w:rPr>
        <w:t xml:space="preserve">. Our results indicate that the distribution of headhunting in Austronesian cultures is highly </w:t>
      </w:r>
      <w:proofErr w:type="spellStart"/>
      <w:r w:rsidR="005A2795" w:rsidRPr="005A2795">
        <w:rPr>
          <w:sz w:val="24"/>
          <w:szCs w:val="24"/>
        </w:rPr>
        <w:t>phylogenetically</w:t>
      </w:r>
      <w:proofErr w:type="spellEnd"/>
      <w:r w:rsidR="005A2795" w:rsidRPr="005A2795">
        <w:rPr>
          <w:sz w:val="24"/>
          <w:szCs w:val="24"/>
        </w:rPr>
        <w:t xml:space="preserve"> patterned (</w:t>
      </w:r>
      <w:r w:rsidR="005A2795" w:rsidRPr="005A2795">
        <w:rPr>
          <w:i/>
          <w:sz w:val="24"/>
          <w:szCs w:val="24"/>
        </w:rPr>
        <w:t>D</w:t>
      </w:r>
      <w:r w:rsidR="005A2795" w:rsidRPr="005A2795">
        <w:rPr>
          <w:sz w:val="24"/>
          <w:szCs w:val="24"/>
        </w:rPr>
        <w:t xml:space="preserve"> = -.</w:t>
      </w:r>
      <w:r w:rsidR="00D96E43">
        <w:rPr>
          <w:sz w:val="24"/>
          <w:szCs w:val="24"/>
        </w:rPr>
        <w:t xml:space="preserve">98), which </w:t>
      </w:r>
      <w:proofErr w:type="gramStart"/>
      <w:r w:rsidR="00D96E43">
        <w:rPr>
          <w:sz w:val="24"/>
          <w:szCs w:val="24"/>
        </w:rPr>
        <w:t>can</w:t>
      </w:r>
      <w:proofErr w:type="gramEnd"/>
      <w:r w:rsidR="00D96E43">
        <w:rPr>
          <w:sz w:val="24"/>
          <w:szCs w:val="24"/>
        </w:rPr>
        <w:t xml:space="preserve"> be seen in Fig. 5</w:t>
      </w:r>
      <w:r w:rsidR="005A2795" w:rsidRPr="005A2795">
        <w:rPr>
          <w:sz w:val="24"/>
          <w:szCs w:val="24"/>
        </w:rPr>
        <w:t xml:space="preserve">a. This result suggests that the practice of headhunting is highly dependent on cultural ancestry - cultures whose recent ancestors practiced headhunting are highly likely to practice headhunting themselves. As such, phylogenetic methods are required to model the origins and distribution of headhunting in Austronesia. </w:t>
      </w:r>
    </w:p>
    <w:p w:rsidR="00BB19F1" w:rsidRPr="005A2795" w:rsidRDefault="005A2795" w:rsidP="00293BCD">
      <w:pPr>
        <w:spacing w:line="480" w:lineRule="auto"/>
        <w:ind w:firstLine="720"/>
        <w:rPr>
          <w:sz w:val="24"/>
          <w:szCs w:val="24"/>
        </w:rPr>
      </w:pPr>
      <w:r w:rsidRPr="005A2795">
        <w:rPr>
          <w:sz w:val="24"/>
          <w:szCs w:val="24"/>
        </w:rPr>
        <w:t xml:space="preserve">We then performed an ancestral state reconstruction using the software package </w:t>
      </w:r>
      <w:proofErr w:type="spellStart"/>
      <w:r w:rsidRPr="005A2795">
        <w:rPr>
          <w:i/>
          <w:sz w:val="24"/>
          <w:szCs w:val="24"/>
        </w:rPr>
        <w:t>Bayestraits</w:t>
      </w:r>
      <w:proofErr w:type="spellEnd"/>
      <w:r w:rsidRPr="005A2795">
        <w:rPr>
          <w:sz w:val="24"/>
          <w:szCs w:val="24"/>
        </w:rPr>
        <w:t xml:space="preserve"> </w:t>
      </w:r>
      <w:r w:rsidR="00D96E43" w:rsidRPr="00D96E43">
        <w:rPr>
          <w:noProof/>
          <w:sz w:val="24"/>
          <w:szCs w:val="24"/>
        </w:rPr>
        <w:t>(4)</w:t>
      </w:r>
      <w:r w:rsidRPr="005A2795">
        <w:rPr>
          <w:sz w:val="24"/>
          <w:szCs w:val="24"/>
        </w:rPr>
        <w:t xml:space="preserve"> to model the history of headhunting in Austronesia across a sample of the 4199 most likely trees constructed from basic vocabulary items </w:t>
      </w:r>
      <w:r w:rsidR="00D96E43">
        <w:rPr>
          <w:sz w:val="24"/>
          <w:szCs w:val="24"/>
        </w:rPr>
        <w:t xml:space="preserve">by </w:t>
      </w:r>
      <w:proofErr w:type="spellStart"/>
      <w:r w:rsidR="00D96E43">
        <w:rPr>
          <w:sz w:val="24"/>
          <w:szCs w:val="24"/>
        </w:rPr>
        <w:t>Gray</w:t>
      </w:r>
      <w:proofErr w:type="spellEnd"/>
      <w:r w:rsidR="00D96E43">
        <w:rPr>
          <w:sz w:val="24"/>
          <w:szCs w:val="24"/>
        </w:rPr>
        <w:t xml:space="preserve"> et al.’s </w:t>
      </w:r>
      <w:r w:rsidR="00D96E43" w:rsidRPr="00D96E43">
        <w:rPr>
          <w:noProof/>
          <w:sz w:val="24"/>
          <w:szCs w:val="24"/>
        </w:rPr>
        <w:t>(1)</w:t>
      </w:r>
      <w:r w:rsidRPr="005A2795">
        <w:rPr>
          <w:sz w:val="24"/>
          <w:szCs w:val="24"/>
        </w:rPr>
        <w:t xml:space="preserve">. </w:t>
      </w:r>
      <w:proofErr w:type="gramStart"/>
      <w:r w:rsidRPr="005A2795">
        <w:rPr>
          <w:sz w:val="24"/>
          <w:szCs w:val="24"/>
        </w:rPr>
        <w:t>Using a sample of trees, rather than assuming one true tree, enables us to take into account phylogenetic uncertainty in the placement of language subgroups and timing of language divergences.</w:t>
      </w:r>
      <w:proofErr w:type="gramEnd"/>
      <w:r w:rsidR="006A5939">
        <w:rPr>
          <w:sz w:val="24"/>
          <w:szCs w:val="24"/>
        </w:rPr>
        <w:t xml:space="preserve"> </w:t>
      </w:r>
      <w:r w:rsidR="009D38DE" w:rsidRPr="005A2795">
        <w:rPr>
          <w:sz w:val="24"/>
          <w:szCs w:val="24"/>
        </w:rPr>
        <w:t xml:space="preserve">To inform the priors for the MCMC analyses, we began by performing a Maximum </w:t>
      </w:r>
      <w:r w:rsidR="009E7352" w:rsidRPr="005A2795">
        <w:rPr>
          <w:sz w:val="24"/>
          <w:szCs w:val="24"/>
        </w:rPr>
        <w:t>Likelihood</w:t>
      </w:r>
      <w:r w:rsidR="009D38DE" w:rsidRPr="005A2795">
        <w:rPr>
          <w:sz w:val="24"/>
          <w:szCs w:val="24"/>
        </w:rPr>
        <w:t xml:space="preserve"> analysis for each tree in the sample. Across the sample the mean rate of gain </w:t>
      </w:r>
      <w:r w:rsidR="009E7352" w:rsidRPr="005A2795">
        <w:rPr>
          <w:sz w:val="24"/>
          <w:szCs w:val="24"/>
        </w:rPr>
        <w:t xml:space="preserve">(q01) </w:t>
      </w:r>
      <w:r w:rsidR="009D38DE" w:rsidRPr="005A2795">
        <w:rPr>
          <w:sz w:val="24"/>
          <w:szCs w:val="24"/>
        </w:rPr>
        <w:t xml:space="preserve">was </w:t>
      </w:r>
      <w:r w:rsidR="009E7352" w:rsidRPr="005A2795">
        <w:rPr>
          <w:sz w:val="24"/>
          <w:szCs w:val="24"/>
        </w:rPr>
        <w:t xml:space="preserve">0.0035, and the mean rate of loss (q10) was 0.0092. Using an MCMC method enables models of evolution to be tests across a sample of trees, and so does not assume one true tree. For the MCMC analysis we used a hyper-prior sampling from an exponential distribution </w:t>
      </w:r>
      <w:r w:rsidR="006A5939">
        <w:rPr>
          <w:sz w:val="24"/>
          <w:szCs w:val="24"/>
        </w:rPr>
        <w:t xml:space="preserve">with the range </w:t>
      </w:r>
      <w:r w:rsidR="009E7352" w:rsidRPr="005A2795">
        <w:rPr>
          <w:sz w:val="24"/>
          <w:szCs w:val="24"/>
        </w:rPr>
        <w:t>0 to 0.0</w:t>
      </w:r>
      <w:r w:rsidR="00A721C1" w:rsidRPr="005A2795">
        <w:rPr>
          <w:sz w:val="24"/>
          <w:szCs w:val="24"/>
        </w:rPr>
        <w:t>2</w:t>
      </w:r>
      <w:r w:rsidR="009E7352" w:rsidRPr="005A2795">
        <w:rPr>
          <w:sz w:val="24"/>
          <w:szCs w:val="24"/>
        </w:rPr>
        <w:t xml:space="preserve">. Each analysis was run for 100,000,000 </w:t>
      </w:r>
      <w:r w:rsidR="009E7352" w:rsidRPr="005A2795">
        <w:rPr>
          <w:sz w:val="24"/>
          <w:szCs w:val="24"/>
        </w:rPr>
        <w:lastRenderedPageBreak/>
        <w:t xml:space="preserve">iterations, with the first 10,000,000 iteration </w:t>
      </w:r>
      <w:r w:rsidR="006A5939">
        <w:rPr>
          <w:sz w:val="24"/>
          <w:szCs w:val="24"/>
        </w:rPr>
        <w:t xml:space="preserve">excluded </w:t>
      </w:r>
      <w:r w:rsidR="009E7352" w:rsidRPr="005A2795">
        <w:rPr>
          <w:sz w:val="24"/>
          <w:szCs w:val="24"/>
        </w:rPr>
        <w:t>as a burn-in period. We replicated each model 3 times to ensure consistency, and all runs converged on highly similar values (</w:t>
      </w:r>
      <w:r w:rsidR="00293BCD">
        <w:rPr>
          <w:sz w:val="24"/>
          <w:szCs w:val="24"/>
        </w:rPr>
        <w:t>S1 Table</w:t>
      </w:r>
      <w:r w:rsidR="009E7352" w:rsidRPr="005A2795">
        <w:rPr>
          <w:sz w:val="24"/>
          <w:szCs w:val="24"/>
        </w:rPr>
        <w:t xml:space="preserve">). </w:t>
      </w:r>
    </w:p>
    <w:p w:rsidR="00C92D86" w:rsidRPr="00F025E7" w:rsidRDefault="009C5A58" w:rsidP="00EF7A8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To provide a visual summary of our ancestral state reconstruction </w:t>
      </w:r>
      <w:r w:rsidR="00FD29E1" w:rsidRPr="005A2795">
        <w:rPr>
          <w:sz w:val="24"/>
          <w:szCs w:val="24"/>
        </w:rPr>
        <w:t xml:space="preserve">we created a maximum clade credibility tree using the program </w:t>
      </w:r>
      <w:proofErr w:type="spellStart"/>
      <w:r w:rsidR="00FD29E1" w:rsidRPr="005A2795">
        <w:rPr>
          <w:i/>
          <w:sz w:val="24"/>
          <w:szCs w:val="24"/>
        </w:rPr>
        <w:t>TreeAnnotator</w:t>
      </w:r>
      <w:proofErr w:type="spellEnd"/>
      <w:r w:rsidR="00FD29E1" w:rsidRPr="005A2795">
        <w:rPr>
          <w:sz w:val="24"/>
          <w:szCs w:val="24"/>
        </w:rPr>
        <w:t xml:space="preserve"> </w:t>
      </w:r>
      <w:r w:rsidR="00D96E43" w:rsidRPr="00D96E43">
        <w:rPr>
          <w:noProof/>
          <w:sz w:val="24"/>
          <w:szCs w:val="24"/>
        </w:rPr>
        <w:t>(5)</w:t>
      </w:r>
      <w:r w:rsidR="00FD29E1" w:rsidRPr="005A2795">
        <w:rPr>
          <w:sz w:val="24"/>
          <w:szCs w:val="24"/>
        </w:rPr>
        <w:t xml:space="preserve">. Using the </w:t>
      </w:r>
      <w:proofErr w:type="spellStart"/>
      <w:r w:rsidR="00FD29E1" w:rsidRPr="005A2795">
        <w:rPr>
          <w:sz w:val="24"/>
          <w:szCs w:val="24"/>
        </w:rPr>
        <w:t>addnodes</w:t>
      </w:r>
      <w:proofErr w:type="spellEnd"/>
      <w:r w:rsidR="00FD29E1" w:rsidRPr="005A2795">
        <w:rPr>
          <w:sz w:val="24"/>
          <w:szCs w:val="24"/>
        </w:rPr>
        <w:t xml:space="preserve"> function in </w:t>
      </w:r>
      <w:proofErr w:type="spellStart"/>
      <w:r w:rsidR="00FD29E1" w:rsidRPr="005A2795">
        <w:rPr>
          <w:i/>
          <w:sz w:val="24"/>
          <w:szCs w:val="24"/>
        </w:rPr>
        <w:t>Bayestraits</w:t>
      </w:r>
      <w:proofErr w:type="spellEnd"/>
      <w:r w:rsidR="00FD29E1" w:rsidRPr="005A2795">
        <w:rPr>
          <w:sz w:val="24"/>
          <w:szCs w:val="24"/>
        </w:rPr>
        <w:t xml:space="preserve"> </w:t>
      </w:r>
      <w:r w:rsidR="00D96E43" w:rsidRPr="00D96E43">
        <w:rPr>
          <w:noProof/>
          <w:sz w:val="24"/>
          <w:szCs w:val="24"/>
        </w:rPr>
        <w:t>(6)</w:t>
      </w:r>
      <w:r w:rsidR="006A5939">
        <w:rPr>
          <w:sz w:val="24"/>
          <w:szCs w:val="24"/>
        </w:rPr>
        <w:t xml:space="preserve"> </w:t>
      </w:r>
      <w:r w:rsidR="00FD29E1" w:rsidRPr="005A2795">
        <w:rPr>
          <w:sz w:val="24"/>
          <w:szCs w:val="24"/>
        </w:rPr>
        <w:t>we reconstructed each of the internal nodes of the consensus tree. The tree figure was then created using the R package Ape</w:t>
      </w:r>
      <w:r w:rsidR="006A5939">
        <w:rPr>
          <w:sz w:val="24"/>
          <w:szCs w:val="24"/>
        </w:rPr>
        <w:t xml:space="preserve"> </w:t>
      </w:r>
      <w:r w:rsidR="00D96E43" w:rsidRPr="00D96E43">
        <w:rPr>
          <w:noProof/>
          <w:sz w:val="24"/>
          <w:szCs w:val="24"/>
        </w:rPr>
        <w:t>(7)</w:t>
      </w:r>
      <w:r w:rsidR="00FD29E1" w:rsidRPr="005A2795">
        <w:rPr>
          <w:sz w:val="24"/>
          <w:szCs w:val="24"/>
        </w:rPr>
        <w:t>, with final editing in Adobe Illustrator and Photoshop. The resulting image is presented as</w:t>
      </w:r>
      <w:r w:rsidR="00EF7A8A" w:rsidRPr="005A2795">
        <w:rPr>
          <w:sz w:val="24"/>
          <w:szCs w:val="24"/>
        </w:rPr>
        <w:t xml:space="preserve"> Fig</w:t>
      </w:r>
      <w:r w:rsidR="00D96E43">
        <w:rPr>
          <w:sz w:val="24"/>
          <w:szCs w:val="24"/>
        </w:rPr>
        <w:t>. 5a</w:t>
      </w:r>
      <w:r w:rsidR="00293BCD">
        <w:rPr>
          <w:sz w:val="24"/>
          <w:szCs w:val="24"/>
        </w:rPr>
        <w:t>.</w:t>
      </w:r>
      <w:r w:rsidR="00EF7A8A" w:rsidRPr="005A2795">
        <w:rPr>
          <w:sz w:val="24"/>
          <w:szCs w:val="24"/>
        </w:rPr>
        <w:t xml:space="preserve"> </w:t>
      </w:r>
      <w:r w:rsidR="00293BCD">
        <w:rPr>
          <w:sz w:val="24"/>
          <w:szCs w:val="24"/>
        </w:rPr>
        <w:t xml:space="preserve">At each node of the tree a pie </w:t>
      </w:r>
      <w:r w:rsidR="00293BCD" w:rsidRPr="00F025E7">
        <w:rPr>
          <w:sz w:val="24"/>
          <w:szCs w:val="24"/>
        </w:rPr>
        <w:t xml:space="preserve">chart represents the inferred state of that culture. </w:t>
      </w:r>
      <w:r w:rsidR="00EF7A8A" w:rsidRPr="00F025E7">
        <w:rPr>
          <w:sz w:val="24"/>
          <w:szCs w:val="24"/>
        </w:rPr>
        <w:t xml:space="preserve">Grey represents the proportion of the trees in the sample in for which that node is not present. </w:t>
      </w:r>
    </w:p>
    <w:p w:rsidR="00F025E7" w:rsidRPr="00F025E7" w:rsidRDefault="00F025E7" w:rsidP="00F025E7">
      <w:pPr>
        <w:spacing w:line="480" w:lineRule="auto"/>
        <w:rPr>
          <w:sz w:val="24"/>
          <w:szCs w:val="24"/>
        </w:rPr>
      </w:pPr>
      <w:proofErr w:type="gramStart"/>
      <w:r w:rsidRPr="00F025E7">
        <w:rPr>
          <w:b/>
          <w:sz w:val="24"/>
          <w:szCs w:val="24"/>
        </w:rPr>
        <w:t>S1 Table.</w:t>
      </w:r>
      <w:proofErr w:type="gramEnd"/>
      <w:r w:rsidRPr="00F025E7">
        <w:rPr>
          <w:sz w:val="24"/>
          <w:szCs w:val="24"/>
        </w:rPr>
        <w:t xml:space="preserve"> </w:t>
      </w:r>
      <w:proofErr w:type="gramStart"/>
      <w:r w:rsidRPr="00F025E7">
        <w:rPr>
          <w:sz w:val="24"/>
          <w:szCs w:val="24"/>
        </w:rPr>
        <w:t>Summary of three independent ancestral state reconstructions of headhunting.</w:t>
      </w:r>
      <w:proofErr w:type="gramEnd"/>
      <w:r w:rsidRPr="00F025E7">
        <w:rPr>
          <w:sz w:val="24"/>
          <w:szCs w:val="24"/>
        </w:rPr>
        <w:t xml:space="preserve"> </w:t>
      </w:r>
      <w:proofErr w:type="gramStart"/>
      <w:r w:rsidRPr="00F025E7">
        <w:rPr>
          <w:sz w:val="24"/>
          <w:szCs w:val="24"/>
        </w:rPr>
        <w:t xml:space="preserve">The  </w:t>
      </w:r>
      <w:r w:rsidRPr="00F025E7">
        <w:rPr>
          <w:i/>
          <w:sz w:val="24"/>
          <w:szCs w:val="24"/>
        </w:rPr>
        <w:t>q01</w:t>
      </w:r>
      <w:proofErr w:type="gramEnd"/>
      <w:r w:rsidRPr="00F025E7">
        <w:rPr>
          <w:sz w:val="24"/>
          <w:szCs w:val="24"/>
        </w:rPr>
        <w:t xml:space="preserve"> column indicates the rate at which cultures are inferred to gain headhunting, and </w:t>
      </w:r>
      <w:r w:rsidRPr="00F025E7">
        <w:rPr>
          <w:i/>
          <w:sz w:val="24"/>
          <w:szCs w:val="24"/>
        </w:rPr>
        <w:t>q10</w:t>
      </w:r>
      <w:r w:rsidRPr="00F025E7">
        <w:rPr>
          <w:sz w:val="24"/>
          <w:szCs w:val="24"/>
        </w:rPr>
        <w:t xml:space="preserve"> indicates the rate at which cultures loose headhunting. Root p (0) indicates the probability that the culture at the root of the tree (proto-Austronesia) lacked headhunting, while Root p (1) indicates the probability that headhunting was present. Values for each run represent the mean from the posterior distribution. </w:t>
      </w:r>
    </w:p>
    <w:tbl>
      <w:tblPr>
        <w:tblStyle w:val="TableGrid"/>
        <w:tblpPr w:leftFromText="180" w:rightFromText="180" w:vertAnchor="page" w:horzAnchor="margin" w:tblpY="11391"/>
        <w:tblW w:w="0" w:type="auto"/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1833"/>
        <w:gridCol w:w="1833"/>
      </w:tblGrid>
      <w:tr w:rsidR="00F025E7" w:rsidRPr="00F025E7" w:rsidTr="00F025E7">
        <w:trPr>
          <w:trHeight w:val="264"/>
        </w:trPr>
        <w:tc>
          <w:tcPr>
            <w:tcW w:w="1832" w:type="dxa"/>
          </w:tcPr>
          <w:p w:rsidR="00F025E7" w:rsidRPr="00F025E7" w:rsidRDefault="00F025E7" w:rsidP="00F025E7">
            <w:pPr>
              <w:rPr>
                <w:b/>
                <w:sz w:val="24"/>
                <w:szCs w:val="24"/>
              </w:rPr>
            </w:pPr>
            <w:r w:rsidRPr="00F025E7">
              <w:rPr>
                <w:b/>
                <w:sz w:val="24"/>
                <w:szCs w:val="24"/>
              </w:rPr>
              <w:t>Run</w:t>
            </w:r>
          </w:p>
        </w:tc>
        <w:tc>
          <w:tcPr>
            <w:tcW w:w="1832" w:type="dxa"/>
          </w:tcPr>
          <w:p w:rsidR="00F025E7" w:rsidRPr="00F025E7" w:rsidRDefault="00F025E7" w:rsidP="00F025E7">
            <w:pPr>
              <w:rPr>
                <w:b/>
                <w:i/>
                <w:sz w:val="24"/>
                <w:szCs w:val="24"/>
              </w:rPr>
            </w:pPr>
            <w:r w:rsidRPr="00F025E7">
              <w:rPr>
                <w:b/>
                <w:i/>
                <w:sz w:val="24"/>
                <w:szCs w:val="24"/>
              </w:rPr>
              <w:t>q01</w:t>
            </w:r>
          </w:p>
        </w:tc>
        <w:tc>
          <w:tcPr>
            <w:tcW w:w="1832" w:type="dxa"/>
          </w:tcPr>
          <w:p w:rsidR="00F025E7" w:rsidRPr="00F025E7" w:rsidRDefault="00F025E7" w:rsidP="00F025E7">
            <w:pPr>
              <w:rPr>
                <w:b/>
                <w:i/>
                <w:sz w:val="24"/>
                <w:szCs w:val="24"/>
              </w:rPr>
            </w:pPr>
            <w:r w:rsidRPr="00F025E7">
              <w:rPr>
                <w:b/>
                <w:i/>
                <w:sz w:val="24"/>
                <w:szCs w:val="24"/>
              </w:rPr>
              <w:t>q10</w:t>
            </w:r>
          </w:p>
        </w:tc>
        <w:tc>
          <w:tcPr>
            <w:tcW w:w="1833" w:type="dxa"/>
          </w:tcPr>
          <w:p w:rsidR="00F025E7" w:rsidRPr="00F025E7" w:rsidRDefault="00F025E7" w:rsidP="00F025E7">
            <w:pPr>
              <w:rPr>
                <w:b/>
                <w:sz w:val="24"/>
                <w:szCs w:val="24"/>
              </w:rPr>
            </w:pPr>
            <w:r w:rsidRPr="00F025E7">
              <w:rPr>
                <w:b/>
                <w:sz w:val="24"/>
                <w:szCs w:val="24"/>
              </w:rPr>
              <w:t>Root p (0)</w:t>
            </w:r>
          </w:p>
        </w:tc>
        <w:tc>
          <w:tcPr>
            <w:tcW w:w="1833" w:type="dxa"/>
          </w:tcPr>
          <w:p w:rsidR="00F025E7" w:rsidRPr="00F025E7" w:rsidRDefault="00F025E7" w:rsidP="00F025E7">
            <w:pPr>
              <w:rPr>
                <w:b/>
                <w:sz w:val="24"/>
                <w:szCs w:val="24"/>
              </w:rPr>
            </w:pPr>
            <w:r w:rsidRPr="00F025E7">
              <w:rPr>
                <w:b/>
                <w:sz w:val="24"/>
                <w:szCs w:val="24"/>
              </w:rPr>
              <w:t>Root p (1)</w:t>
            </w:r>
          </w:p>
        </w:tc>
      </w:tr>
      <w:tr w:rsidR="00F025E7" w:rsidRPr="00F025E7" w:rsidTr="00F025E7">
        <w:trPr>
          <w:trHeight w:val="581"/>
        </w:trPr>
        <w:tc>
          <w:tcPr>
            <w:tcW w:w="1832" w:type="dxa"/>
          </w:tcPr>
          <w:p w:rsidR="00F025E7" w:rsidRPr="00E313A6" w:rsidRDefault="00F025E7" w:rsidP="00F025E7">
            <w:pPr>
              <w:rPr>
                <w:b/>
                <w:sz w:val="24"/>
                <w:szCs w:val="24"/>
              </w:rPr>
            </w:pPr>
            <w:r w:rsidRPr="00E313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F025E7" w:rsidRPr="00F025E7" w:rsidRDefault="00F025E7" w:rsidP="00F025E7">
            <w:pPr>
              <w:rPr>
                <w:sz w:val="24"/>
                <w:szCs w:val="24"/>
              </w:rPr>
            </w:pPr>
            <w:r w:rsidRPr="00F025E7">
              <w:rPr>
                <w:sz w:val="24"/>
                <w:szCs w:val="24"/>
              </w:rPr>
              <w:t>0.0047</w:t>
            </w:r>
          </w:p>
        </w:tc>
        <w:tc>
          <w:tcPr>
            <w:tcW w:w="1832" w:type="dxa"/>
          </w:tcPr>
          <w:p w:rsidR="00F025E7" w:rsidRPr="00F025E7" w:rsidRDefault="00F025E7" w:rsidP="00F025E7">
            <w:pPr>
              <w:rPr>
                <w:sz w:val="24"/>
                <w:szCs w:val="24"/>
              </w:rPr>
            </w:pPr>
            <w:r w:rsidRPr="00F025E7">
              <w:rPr>
                <w:sz w:val="24"/>
                <w:szCs w:val="24"/>
              </w:rPr>
              <w:t>0.0095</w:t>
            </w:r>
          </w:p>
        </w:tc>
        <w:tc>
          <w:tcPr>
            <w:tcW w:w="1833" w:type="dxa"/>
          </w:tcPr>
          <w:p w:rsidR="00F025E7" w:rsidRPr="00F025E7" w:rsidRDefault="00F025E7" w:rsidP="00F025E7">
            <w:pPr>
              <w:rPr>
                <w:sz w:val="24"/>
                <w:szCs w:val="24"/>
              </w:rPr>
            </w:pPr>
            <w:r w:rsidRPr="00F025E7">
              <w:rPr>
                <w:sz w:val="24"/>
                <w:szCs w:val="24"/>
              </w:rPr>
              <w:t>0.01</w:t>
            </w:r>
          </w:p>
        </w:tc>
        <w:tc>
          <w:tcPr>
            <w:tcW w:w="1833" w:type="dxa"/>
          </w:tcPr>
          <w:p w:rsidR="00F025E7" w:rsidRPr="00F025E7" w:rsidRDefault="00F025E7" w:rsidP="00F025E7">
            <w:pPr>
              <w:rPr>
                <w:sz w:val="24"/>
                <w:szCs w:val="24"/>
              </w:rPr>
            </w:pPr>
            <w:r w:rsidRPr="00F025E7">
              <w:rPr>
                <w:sz w:val="24"/>
                <w:szCs w:val="24"/>
              </w:rPr>
              <w:t>0.99</w:t>
            </w:r>
          </w:p>
        </w:tc>
      </w:tr>
      <w:tr w:rsidR="00F025E7" w:rsidRPr="00F025E7" w:rsidTr="00F025E7">
        <w:trPr>
          <w:trHeight w:val="581"/>
        </w:trPr>
        <w:tc>
          <w:tcPr>
            <w:tcW w:w="1832" w:type="dxa"/>
          </w:tcPr>
          <w:p w:rsidR="00F025E7" w:rsidRPr="00E313A6" w:rsidRDefault="00F025E7" w:rsidP="00F025E7">
            <w:pPr>
              <w:rPr>
                <w:b/>
                <w:sz w:val="24"/>
                <w:szCs w:val="24"/>
              </w:rPr>
            </w:pPr>
            <w:r w:rsidRPr="00E313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F025E7" w:rsidRPr="00F025E7" w:rsidRDefault="00F025E7" w:rsidP="00F025E7">
            <w:pPr>
              <w:rPr>
                <w:sz w:val="24"/>
                <w:szCs w:val="24"/>
              </w:rPr>
            </w:pPr>
            <w:r w:rsidRPr="00F025E7">
              <w:rPr>
                <w:sz w:val="24"/>
                <w:szCs w:val="24"/>
              </w:rPr>
              <w:t>0.0048</w:t>
            </w:r>
          </w:p>
        </w:tc>
        <w:tc>
          <w:tcPr>
            <w:tcW w:w="1832" w:type="dxa"/>
          </w:tcPr>
          <w:p w:rsidR="00F025E7" w:rsidRPr="00F025E7" w:rsidRDefault="00F025E7" w:rsidP="00F025E7">
            <w:pPr>
              <w:rPr>
                <w:sz w:val="24"/>
                <w:szCs w:val="24"/>
              </w:rPr>
            </w:pPr>
            <w:r w:rsidRPr="00F025E7">
              <w:rPr>
                <w:sz w:val="24"/>
                <w:szCs w:val="24"/>
              </w:rPr>
              <w:t>0.0095</w:t>
            </w:r>
          </w:p>
        </w:tc>
        <w:tc>
          <w:tcPr>
            <w:tcW w:w="1833" w:type="dxa"/>
          </w:tcPr>
          <w:p w:rsidR="00F025E7" w:rsidRPr="00F025E7" w:rsidRDefault="00F025E7" w:rsidP="00F025E7">
            <w:pPr>
              <w:rPr>
                <w:sz w:val="24"/>
                <w:szCs w:val="24"/>
              </w:rPr>
            </w:pPr>
            <w:r w:rsidRPr="00F025E7">
              <w:rPr>
                <w:sz w:val="24"/>
                <w:szCs w:val="24"/>
              </w:rPr>
              <w:t>0.01</w:t>
            </w:r>
          </w:p>
        </w:tc>
        <w:tc>
          <w:tcPr>
            <w:tcW w:w="1833" w:type="dxa"/>
          </w:tcPr>
          <w:p w:rsidR="00F025E7" w:rsidRPr="00F025E7" w:rsidRDefault="00F025E7" w:rsidP="00F025E7">
            <w:pPr>
              <w:rPr>
                <w:sz w:val="24"/>
                <w:szCs w:val="24"/>
              </w:rPr>
            </w:pPr>
            <w:r w:rsidRPr="00F025E7">
              <w:rPr>
                <w:sz w:val="24"/>
                <w:szCs w:val="24"/>
              </w:rPr>
              <w:t>0.99</w:t>
            </w:r>
          </w:p>
        </w:tc>
      </w:tr>
      <w:tr w:rsidR="00F025E7" w:rsidRPr="00F025E7" w:rsidTr="00F025E7">
        <w:trPr>
          <w:trHeight w:val="559"/>
        </w:trPr>
        <w:tc>
          <w:tcPr>
            <w:tcW w:w="1832" w:type="dxa"/>
          </w:tcPr>
          <w:p w:rsidR="00F025E7" w:rsidRPr="00E313A6" w:rsidRDefault="00F025E7" w:rsidP="00F025E7">
            <w:pPr>
              <w:rPr>
                <w:b/>
                <w:sz w:val="24"/>
                <w:szCs w:val="24"/>
              </w:rPr>
            </w:pPr>
            <w:r w:rsidRPr="00E313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F025E7" w:rsidRPr="00F025E7" w:rsidRDefault="00F025E7" w:rsidP="00F025E7">
            <w:pPr>
              <w:rPr>
                <w:sz w:val="24"/>
                <w:szCs w:val="24"/>
              </w:rPr>
            </w:pPr>
            <w:r w:rsidRPr="00F025E7">
              <w:rPr>
                <w:sz w:val="24"/>
                <w:szCs w:val="24"/>
              </w:rPr>
              <w:t>0.0048</w:t>
            </w:r>
          </w:p>
        </w:tc>
        <w:tc>
          <w:tcPr>
            <w:tcW w:w="1832" w:type="dxa"/>
          </w:tcPr>
          <w:p w:rsidR="00F025E7" w:rsidRPr="00F025E7" w:rsidRDefault="00F025E7" w:rsidP="00F025E7">
            <w:pPr>
              <w:rPr>
                <w:sz w:val="24"/>
                <w:szCs w:val="24"/>
              </w:rPr>
            </w:pPr>
            <w:r w:rsidRPr="00F025E7">
              <w:rPr>
                <w:sz w:val="24"/>
                <w:szCs w:val="24"/>
              </w:rPr>
              <w:t>0.0094</w:t>
            </w:r>
          </w:p>
        </w:tc>
        <w:tc>
          <w:tcPr>
            <w:tcW w:w="1833" w:type="dxa"/>
          </w:tcPr>
          <w:p w:rsidR="00F025E7" w:rsidRPr="00F025E7" w:rsidRDefault="00F025E7" w:rsidP="00F025E7">
            <w:pPr>
              <w:rPr>
                <w:sz w:val="24"/>
                <w:szCs w:val="24"/>
              </w:rPr>
            </w:pPr>
            <w:r w:rsidRPr="00F025E7">
              <w:rPr>
                <w:sz w:val="24"/>
                <w:szCs w:val="24"/>
              </w:rPr>
              <w:t>0.02</w:t>
            </w:r>
          </w:p>
        </w:tc>
        <w:tc>
          <w:tcPr>
            <w:tcW w:w="1833" w:type="dxa"/>
          </w:tcPr>
          <w:p w:rsidR="00F025E7" w:rsidRPr="00F025E7" w:rsidRDefault="00F025E7" w:rsidP="00F025E7">
            <w:pPr>
              <w:rPr>
                <w:sz w:val="24"/>
                <w:szCs w:val="24"/>
              </w:rPr>
            </w:pPr>
            <w:r w:rsidRPr="00F025E7">
              <w:rPr>
                <w:sz w:val="24"/>
                <w:szCs w:val="24"/>
              </w:rPr>
              <w:t>0.98</w:t>
            </w:r>
          </w:p>
        </w:tc>
      </w:tr>
      <w:tr w:rsidR="00F025E7" w:rsidRPr="00F025E7" w:rsidTr="00F025E7">
        <w:trPr>
          <w:trHeight w:val="559"/>
        </w:trPr>
        <w:tc>
          <w:tcPr>
            <w:tcW w:w="1832" w:type="dxa"/>
          </w:tcPr>
          <w:p w:rsidR="00F025E7" w:rsidRPr="00E313A6" w:rsidRDefault="00F025E7" w:rsidP="00F025E7">
            <w:pPr>
              <w:rPr>
                <w:b/>
                <w:sz w:val="24"/>
                <w:szCs w:val="24"/>
              </w:rPr>
            </w:pPr>
            <w:r w:rsidRPr="00E313A6">
              <w:rPr>
                <w:b/>
                <w:sz w:val="24"/>
                <w:szCs w:val="24"/>
              </w:rPr>
              <w:t>Mean</w:t>
            </w:r>
          </w:p>
        </w:tc>
        <w:tc>
          <w:tcPr>
            <w:tcW w:w="1832" w:type="dxa"/>
          </w:tcPr>
          <w:p w:rsidR="00F025E7" w:rsidRPr="00F025E7" w:rsidRDefault="00F025E7" w:rsidP="00F025E7">
            <w:pPr>
              <w:rPr>
                <w:sz w:val="24"/>
                <w:szCs w:val="24"/>
              </w:rPr>
            </w:pPr>
            <w:r w:rsidRPr="00F025E7">
              <w:rPr>
                <w:sz w:val="24"/>
                <w:szCs w:val="24"/>
              </w:rPr>
              <w:t>0.0048</w:t>
            </w:r>
          </w:p>
        </w:tc>
        <w:tc>
          <w:tcPr>
            <w:tcW w:w="1832" w:type="dxa"/>
          </w:tcPr>
          <w:p w:rsidR="00F025E7" w:rsidRPr="00F025E7" w:rsidRDefault="00F025E7" w:rsidP="00F025E7">
            <w:pPr>
              <w:rPr>
                <w:sz w:val="24"/>
                <w:szCs w:val="24"/>
              </w:rPr>
            </w:pPr>
            <w:r w:rsidRPr="00F025E7">
              <w:rPr>
                <w:sz w:val="24"/>
                <w:szCs w:val="24"/>
              </w:rPr>
              <w:t>0.0095</w:t>
            </w:r>
          </w:p>
        </w:tc>
        <w:tc>
          <w:tcPr>
            <w:tcW w:w="1833" w:type="dxa"/>
          </w:tcPr>
          <w:p w:rsidR="00F025E7" w:rsidRPr="00F025E7" w:rsidRDefault="00F025E7" w:rsidP="00F025E7">
            <w:pPr>
              <w:rPr>
                <w:sz w:val="24"/>
                <w:szCs w:val="24"/>
              </w:rPr>
            </w:pPr>
            <w:r w:rsidRPr="00F025E7">
              <w:rPr>
                <w:sz w:val="24"/>
                <w:szCs w:val="24"/>
              </w:rPr>
              <w:t>0.01</w:t>
            </w:r>
          </w:p>
        </w:tc>
        <w:tc>
          <w:tcPr>
            <w:tcW w:w="1833" w:type="dxa"/>
          </w:tcPr>
          <w:p w:rsidR="00F025E7" w:rsidRPr="00F025E7" w:rsidRDefault="00F025E7" w:rsidP="00F025E7">
            <w:pPr>
              <w:rPr>
                <w:sz w:val="24"/>
                <w:szCs w:val="24"/>
              </w:rPr>
            </w:pPr>
            <w:r w:rsidRPr="00F025E7">
              <w:rPr>
                <w:sz w:val="24"/>
                <w:szCs w:val="24"/>
              </w:rPr>
              <w:t>0.99</w:t>
            </w:r>
          </w:p>
        </w:tc>
      </w:tr>
    </w:tbl>
    <w:p w:rsidR="00A72E20" w:rsidRPr="00F025E7" w:rsidRDefault="00A72E20">
      <w:pPr>
        <w:rPr>
          <w:sz w:val="24"/>
          <w:szCs w:val="24"/>
        </w:rPr>
      </w:pPr>
      <w:r w:rsidRPr="00F025E7">
        <w:rPr>
          <w:sz w:val="24"/>
          <w:szCs w:val="24"/>
        </w:rPr>
        <w:br w:type="page"/>
      </w:r>
    </w:p>
    <w:p w:rsidR="00A72E20" w:rsidRPr="00F025E7" w:rsidRDefault="006A5939" w:rsidP="006A5939">
      <w:pPr>
        <w:spacing w:line="480" w:lineRule="auto"/>
        <w:rPr>
          <w:rFonts w:ascii="Calibri" w:hAnsi="Calibri"/>
          <w:b/>
          <w:sz w:val="36"/>
          <w:szCs w:val="24"/>
        </w:rPr>
      </w:pPr>
      <w:r w:rsidRPr="00F025E7">
        <w:rPr>
          <w:rFonts w:ascii="Calibri" w:hAnsi="Calibri"/>
          <w:b/>
          <w:sz w:val="36"/>
          <w:szCs w:val="24"/>
        </w:rPr>
        <w:lastRenderedPageBreak/>
        <w:t xml:space="preserve">Supporting </w:t>
      </w:r>
      <w:r w:rsidR="00A72E20" w:rsidRPr="00F025E7">
        <w:rPr>
          <w:rFonts w:ascii="Calibri" w:hAnsi="Calibri"/>
          <w:b/>
          <w:sz w:val="36"/>
          <w:szCs w:val="24"/>
        </w:rPr>
        <w:t>References</w:t>
      </w:r>
    </w:p>
    <w:p w:rsidR="008B5F66" w:rsidRPr="00D96E43" w:rsidRDefault="008B5F66" w:rsidP="008B5F66">
      <w:pPr>
        <w:pStyle w:val="NormalWeb"/>
        <w:ind w:left="640" w:hanging="640"/>
        <w:rPr>
          <w:rFonts w:ascii="Calibri" w:hAnsi="Calibri"/>
          <w:noProof/>
        </w:rPr>
      </w:pPr>
      <w:r w:rsidRPr="00D96E43">
        <w:rPr>
          <w:rFonts w:ascii="Calibri" w:hAnsi="Calibri"/>
          <w:noProof/>
        </w:rPr>
        <w:t xml:space="preserve">1. </w:t>
      </w:r>
      <w:r w:rsidRPr="00D96E43">
        <w:rPr>
          <w:rFonts w:ascii="Calibri" w:hAnsi="Calibri"/>
          <w:noProof/>
        </w:rPr>
        <w:tab/>
      </w:r>
      <w:r w:rsidRPr="00724285">
        <w:rPr>
          <w:rFonts w:ascii="Calibri" w:hAnsi="Calibri"/>
          <w:noProof/>
        </w:rPr>
        <w:t>Gray RD, Drummond AJ, Greenhill SJ. Language phylogenies reveal expansion pulses and pauses in Pacific settlement. Science</w:t>
      </w:r>
      <w:r>
        <w:rPr>
          <w:rFonts w:ascii="Calibri" w:hAnsi="Calibri"/>
          <w:noProof/>
        </w:rPr>
        <w:t>. 2009</w:t>
      </w:r>
      <w:r w:rsidRPr="00724285">
        <w:rPr>
          <w:rFonts w:ascii="Calibri" w:hAnsi="Calibri"/>
          <w:noProof/>
        </w:rPr>
        <w:t>;323(5913):479–83.</w:t>
      </w:r>
    </w:p>
    <w:p w:rsidR="008B5F66" w:rsidRPr="00D96E43" w:rsidRDefault="008B5F66" w:rsidP="008B5F66">
      <w:pPr>
        <w:pStyle w:val="NormalWeb"/>
        <w:ind w:left="640" w:hanging="640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2. </w:t>
      </w:r>
      <w:r>
        <w:rPr>
          <w:rFonts w:ascii="Calibri" w:hAnsi="Calibri"/>
          <w:noProof/>
        </w:rPr>
        <w:tab/>
        <w:t>Fritz S</w:t>
      </w:r>
      <w:r w:rsidRPr="00D96E43">
        <w:rPr>
          <w:rFonts w:ascii="Calibri" w:hAnsi="Calibri"/>
          <w:noProof/>
        </w:rPr>
        <w:t>, Purvis A. Selectivity in mammalian extinction risk and threat types: a new measure of phylogenetic signal strength in binary traits. Conserv Biol</w:t>
      </w:r>
      <w:r>
        <w:rPr>
          <w:rFonts w:ascii="Calibri" w:hAnsi="Calibri"/>
          <w:noProof/>
        </w:rPr>
        <w:t>. 2010; 24(4):1042–51.</w:t>
      </w:r>
    </w:p>
    <w:p w:rsidR="008B5F66" w:rsidRPr="00D96E43" w:rsidRDefault="008B5F66" w:rsidP="008B5F66">
      <w:pPr>
        <w:pStyle w:val="NormalWeb"/>
        <w:ind w:left="640" w:hanging="640"/>
        <w:rPr>
          <w:rFonts w:ascii="Calibri" w:hAnsi="Calibri"/>
          <w:noProof/>
        </w:rPr>
      </w:pPr>
      <w:r w:rsidRPr="00D96E43">
        <w:rPr>
          <w:rFonts w:ascii="Calibri" w:hAnsi="Calibri"/>
          <w:noProof/>
        </w:rPr>
        <w:t xml:space="preserve">3. </w:t>
      </w:r>
      <w:r w:rsidRPr="00D96E43">
        <w:rPr>
          <w:rFonts w:ascii="Calibri" w:hAnsi="Calibri"/>
          <w:noProof/>
        </w:rPr>
        <w:tab/>
        <w:t>Orme D, Freckleton R, Thomas G, Fritz SA, Isaac N, Pea W. Caper: Comparative Analyses of Phylogenetics and Evolution in R. 2013</w:t>
      </w:r>
      <w:r>
        <w:rPr>
          <w:rFonts w:ascii="Calibri" w:hAnsi="Calibri"/>
          <w:noProof/>
        </w:rPr>
        <w:t>.</w:t>
      </w:r>
    </w:p>
    <w:p w:rsidR="008B5F66" w:rsidRDefault="008B5F66" w:rsidP="008B5F66">
      <w:pPr>
        <w:pStyle w:val="NormalWeb"/>
        <w:ind w:left="640" w:hanging="640"/>
        <w:rPr>
          <w:rFonts w:ascii="Calibri" w:hAnsi="Calibri"/>
          <w:noProof/>
        </w:rPr>
      </w:pPr>
      <w:r w:rsidRPr="00D96E43">
        <w:rPr>
          <w:rFonts w:ascii="Calibri" w:hAnsi="Calibri"/>
          <w:noProof/>
        </w:rPr>
        <w:t xml:space="preserve">4. </w:t>
      </w:r>
      <w:r w:rsidRPr="00D96E43">
        <w:rPr>
          <w:rFonts w:ascii="Calibri" w:hAnsi="Calibri"/>
          <w:noProof/>
        </w:rPr>
        <w:tab/>
        <w:t>Pagel M, Meade A. Bayesian analysis of correlated evolution of discrete characters by reversible</w:t>
      </w:r>
      <w:r w:rsidRPr="00D96E43">
        <w:rPr>
          <w:rFonts w:ascii="Calibri" w:hAnsi="Calibri" w:cs="Cambria Math"/>
          <w:noProof/>
        </w:rPr>
        <w:t>‐</w:t>
      </w:r>
      <w:r w:rsidRPr="00D96E43">
        <w:rPr>
          <w:rFonts w:ascii="Calibri" w:hAnsi="Calibri"/>
          <w:noProof/>
        </w:rPr>
        <w:t xml:space="preserve">jump Markov chain Monte Carlo. Am Nat. 2006;167(6):808–25. </w:t>
      </w:r>
    </w:p>
    <w:p w:rsidR="008B5F66" w:rsidRPr="00D96E43" w:rsidRDefault="008B5F66" w:rsidP="008B5F66">
      <w:pPr>
        <w:pStyle w:val="NormalWeb"/>
        <w:ind w:left="640" w:hanging="640"/>
        <w:rPr>
          <w:rFonts w:ascii="Calibri" w:hAnsi="Calibri"/>
          <w:noProof/>
        </w:rPr>
      </w:pPr>
      <w:r w:rsidRPr="00D96E43">
        <w:rPr>
          <w:rFonts w:ascii="Calibri" w:hAnsi="Calibri"/>
          <w:noProof/>
        </w:rPr>
        <w:t xml:space="preserve">5. </w:t>
      </w:r>
      <w:r w:rsidRPr="00D96E43">
        <w:rPr>
          <w:rFonts w:ascii="Calibri" w:hAnsi="Calibri"/>
          <w:noProof/>
        </w:rPr>
        <w:tab/>
        <w:t xml:space="preserve">Drummond AJ, Suchard MA, Xie D, Rambaut A. Bayesian phylogenetics with BEAUti and the BEAST 1.7. Mol Biol Evol. 2012;29:1969–73. </w:t>
      </w:r>
    </w:p>
    <w:p w:rsidR="008B5F66" w:rsidRPr="00D96E43" w:rsidRDefault="008B5F66" w:rsidP="008B5F66">
      <w:pPr>
        <w:pStyle w:val="NormalWeb"/>
        <w:ind w:left="640" w:hanging="640"/>
        <w:rPr>
          <w:rFonts w:ascii="Calibri" w:hAnsi="Calibri"/>
          <w:noProof/>
        </w:rPr>
      </w:pPr>
      <w:r w:rsidRPr="00D96E43">
        <w:rPr>
          <w:rFonts w:ascii="Calibri" w:hAnsi="Calibri"/>
          <w:noProof/>
        </w:rPr>
        <w:t xml:space="preserve">6. </w:t>
      </w:r>
      <w:r w:rsidRPr="00D96E43">
        <w:rPr>
          <w:rFonts w:ascii="Calibri" w:hAnsi="Calibri"/>
          <w:noProof/>
        </w:rPr>
        <w:tab/>
        <w:t xml:space="preserve">Pagel M, Meade A. Bayesian Analysis of Correlated Evolution of Discrete Characters by Reversible-Jump Markov Chain Monte Carlo. Am Nat. 2006;167(6):808–25. </w:t>
      </w:r>
    </w:p>
    <w:p w:rsidR="008B5F66" w:rsidRPr="00D96E43" w:rsidRDefault="008B5F66" w:rsidP="008B5F66">
      <w:pPr>
        <w:pStyle w:val="NormalWeb"/>
        <w:ind w:left="640" w:hanging="640"/>
        <w:rPr>
          <w:rFonts w:ascii="Calibri" w:hAnsi="Calibri"/>
          <w:noProof/>
        </w:rPr>
      </w:pPr>
      <w:r w:rsidRPr="00D96E43">
        <w:rPr>
          <w:rFonts w:ascii="Calibri" w:hAnsi="Calibri"/>
          <w:noProof/>
        </w:rPr>
        <w:t xml:space="preserve">7. </w:t>
      </w:r>
      <w:r w:rsidRPr="00D96E43">
        <w:rPr>
          <w:rFonts w:ascii="Calibri" w:hAnsi="Calibri"/>
          <w:noProof/>
        </w:rPr>
        <w:tab/>
        <w:t xml:space="preserve">Paradis E, Claude J, Strimmer K. APE: analyses of phylogenetics and evolution in R language. Bioinformatics. 2004;20(2):289–90. </w:t>
      </w:r>
    </w:p>
    <w:p w:rsidR="0061725E" w:rsidRPr="006A5939" w:rsidRDefault="0061725E" w:rsidP="00BB19F1">
      <w:pPr>
        <w:spacing w:line="480" w:lineRule="auto"/>
        <w:rPr>
          <w:rFonts w:ascii="Calibri" w:hAnsi="Calibri"/>
        </w:rPr>
      </w:pPr>
    </w:p>
    <w:sectPr w:rsidR="0061725E" w:rsidRPr="006A59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D05"/>
    <w:multiLevelType w:val="hybridMultilevel"/>
    <w:tmpl w:val="AA1CA564"/>
    <w:lvl w:ilvl="0" w:tplc="1A662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095A"/>
    <w:multiLevelType w:val="hybridMultilevel"/>
    <w:tmpl w:val="172EB180"/>
    <w:lvl w:ilvl="0" w:tplc="E702B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AE"/>
    <w:rsid w:val="00191AB5"/>
    <w:rsid w:val="00293B3C"/>
    <w:rsid w:val="00293BCD"/>
    <w:rsid w:val="002C68AE"/>
    <w:rsid w:val="002D0B79"/>
    <w:rsid w:val="0030366D"/>
    <w:rsid w:val="00321EB2"/>
    <w:rsid w:val="005A2795"/>
    <w:rsid w:val="0061725E"/>
    <w:rsid w:val="006A5939"/>
    <w:rsid w:val="008908C5"/>
    <w:rsid w:val="008B5F66"/>
    <w:rsid w:val="008F32C6"/>
    <w:rsid w:val="00996B38"/>
    <w:rsid w:val="009C5A58"/>
    <w:rsid w:val="009D38DE"/>
    <w:rsid w:val="009E7352"/>
    <w:rsid w:val="00A721C1"/>
    <w:rsid w:val="00A72E20"/>
    <w:rsid w:val="00B80CEF"/>
    <w:rsid w:val="00BB19F1"/>
    <w:rsid w:val="00BF7F2B"/>
    <w:rsid w:val="00C92D86"/>
    <w:rsid w:val="00D96E43"/>
    <w:rsid w:val="00E313A6"/>
    <w:rsid w:val="00EF7A8A"/>
    <w:rsid w:val="00F025E7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795"/>
    <w:pPr>
      <w:spacing w:after="200" w:line="240" w:lineRule="auto"/>
    </w:pPr>
    <w:rPr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795"/>
    <w:rPr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3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NZ" w:eastAsia="zh-CN"/>
    </w:rPr>
  </w:style>
  <w:style w:type="table" w:styleId="TableGrid">
    <w:name w:val="Table Grid"/>
    <w:basedOn w:val="TableNormal"/>
    <w:uiPriority w:val="59"/>
    <w:rsid w:val="00F025E7"/>
    <w:pPr>
      <w:spacing w:after="0" w:line="240" w:lineRule="auto"/>
    </w:pPr>
    <w:rPr>
      <w:rFonts w:eastAsiaTheme="minorEastAsia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795"/>
    <w:pPr>
      <w:spacing w:after="200" w:line="240" w:lineRule="auto"/>
    </w:pPr>
    <w:rPr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795"/>
    <w:rPr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3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NZ" w:eastAsia="zh-CN"/>
    </w:rPr>
  </w:style>
  <w:style w:type="table" w:styleId="TableGrid">
    <w:name w:val="Table Grid"/>
    <w:basedOn w:val="TableNormal"/>
    <w:uiPriority w:val="59"/>
    <w:rsid w:val="00F025E7"/>
    <w:pPr>
      <w:spacing w:after="0" w:line="240" w:lineRule="auto"/>
    </w:pPr>
    <w:rPr>
      <w:rFonts w:eastAsiaTheme="minorEastAsia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388B-7D08-46A5-ABD9-7480D5FA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2015-07-02T10:40:00Z</dcterms:created>
  <dcterms:modified xsi:type="dcterms:W3CDTF">2015-07-02T10:41:00Z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