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F4" w:rsidRDefault="00F91AE4" w:rsidP="001C571F">
      <w:pPr>
        <w:jc w:val="both"/>
      </w:pPr>
      <w:bookmarkStart w:id="0" w:name="_GoBack"/>
      <w:bookmarkEnd w:id="0"/>
      <w:proofErr w:type="gramStart"/>
      <w:r>
        <w:rPr>
          <w:b/>
        </w:rPr>
        <w:t>S1 Table.</w:t>
      </w:r>
      <w:proofErr w:type="gramEnd"/>
      <w:r w:rsidR="00C74FF4">
        <w:t xml:space="preserve"> </w:t>
      </w:r>
      <w:r w:rsidR="003400D2">
        <w:t xml:space="preserve">Almost full-length </w:t>
      </w:r>
      <w:r w:rsidR="001C10CE">
        <w:t xml:space="preserve">16S </w:t>
      </w:r>
      <w:proofErr w:type="spellStart"/>
      <w:r w:rsidR="00C74FF4">
        <w:t>rRNA</w:t>
      </w:r>
      <w:proofErr w:type="spellEnd"/>
      <w:r w:rsidR="00C74FF4">
        <w:t xml:space="preserve"> </w:t>
      </w:r>
      <w:r w:rsidR="001C10CE">
        <w:t xml:space="preserve">gene </w:t>
      </w:r>
      <w:r w:rsidR="00C74FF4">
        <w:t xml:space="preserve">sequences retrieved from </w:t>
      </w:r>
      <w:proofErr w:type="spellStart"/>
      <w:r w:rsidR="003400D2">
        <w:t>GenBank</w:t>
      </w:r>
      <w:proofErr w:type="spellEnd"/>
      <w:r w:rsidR="00C74FF4">
        <w:t>, representing different</w:t>
      </w:r>
      <w:r w:rsidR="001C571F">
        <w:t xml:space="preserve"> bacteria</w:t>
      </w:r>
      <w:r w:rsidR="00C74FF4">
        <w:t xml:space="preserve"> species/strains </w:t>
      </w:r>
      <w:r w:rsidR="001C571F">
        <w:t xml:space="preserve">known to be </w:t>
      </w:r>
      <w:proofErr w:type="spellStart"/>
      <w:r w:rsidR="00C74FF4">
        <w:t>Tephritidae</w:t>
      </w:r>
      <w:proofErr w:type="spellEnd"/>
      <w:r w:rsidR="00C74FF4">
        <w:t xml:space="preserve"> gut </w:t>
      </w:r>
      <w:proofErr w:type="spellStart"/>
      <w:r w:rsidR="00C74FF4">
        <w:t>sumbionts</w:t>
      </w:r>
      <w:proofErr w:type="spellEnd"/>
      <w:r w:rsidR="001C571F">
        <w:t xml:space="preserve">. </w:t>
      </w:r>
      <w:r w:rsidR="00FB6C2C">
        <w:t xml:space="preserve">Sequences were chosen </w:t>
      </w:r>
      <w:r w:rsidR="003400D2">
        <w:t>to</w:t>
      </w:r>
      <w:r w:rsidR="00FB6C2C">
        <w:t xml:space="preserve"> represent all known</w:t>
      </w:r>
      <w:r w:rsidR="009431CC">
        <w:t xml:space="preserve"> Operational Taxonomic Units </w:t>
      </w:r>
      <w:r w:rsidR="00FB6C2C">
        <w:t xml:space="preserve">OTUs present at </w:t>
      </w:r>
      <w:proofErr w:type="spellStart"/>
      <w:r w:rsidR="00FB6C2C">
        <w:t>Tephritidae</w:t>
      </w:r>
      <w:proofErr w:type="spellEnd"/>
      <w:r w:rsidR="00FB6C2C">
        <w:t xml:space="preserve"> guts at species level. </w:t>
      </w:r>
      <w:r w:rsidR="001C571F">
        <w:t xml:space="preserve">These sequences have been </w:t>
      </w:r>
      <w:r w:rsidR="001E23E7">
        <w:t xml:space="preserve">either </w:t>
      </w:r>
      <w:r w:rsidR="003400D2">
        <w:t xml:space="preserve">identified </w:t>
      </w:r>
      <w:r w:rsidR="001E23E7">
        <w:t xml:space="preserve">or been </w:t>
      </w:r>
      <w:r w:rsidR="001C571F">
        <w:t xml:space="preserve">used as references in different studies addressing </w:t>
      </w:r>
      <w:proofErr w:type="spellStart"/>
      <w:r w:rsidR="001C571F">
        <w:t>Tephritidae</w:t>
      </w:r>
      <w:proofErr w:type="spellEnd"/>
      <w:r w:rsidR="001C571F">
        <w:t xml:space="preserve"> gut symbiont diversity [</w:t>
      </w:r>
      <w:r>
        <w:t>1-2</w:t>
      </w:r>
      <w:r w:rsidR="001C571F">
        <w:t>]</w:t>
      </w:r>
      <w:r w:rsidR="00C1493A">
        <w:t>. Pub</w:t>
      </w:r>
      <w:r w:rsidR="003400D2">
        <w:t>M</w:t>
      </w:r>
      <w:r w:rsidR="00C1493A">
        <w:t xml:space="preserve">ed was last checked for updates </w:t>
      </w:r>
      <w:r w:rsidR="003400D2">
        <w:t xml:space="preserve">in </w:t>
      </w:r>
      <w:r w:rsidR="004609EC">
        <w:t>June</w:t>
      </w:r>
      <w:r w:rsidR="00C1493A">
        <w:t xml:space="preserve"> 2015.</w:t>
      </w:r>
    </w:p>
    <w:tbl>
      <w:tblPr>
        <w:tblStyle w:val="TableGrid"/>
        <w:tblW w:w="4782" w:type="dxa"/>
        <w:jc w:val="center"/>
        <w:tblLook w:val="04A0" w:firstRow="1" w:lastRow="0" w:firstColumn="1" w:lastColumn="0" w:noHBand="0" w:noVBand="1"/>
      </w:tblPr>
      <w:tblGrid>
        <w:gridCol w:w="2821"/>
        <w:gridCol w:w="1961"/>
      </w:tblGrid>
      <w:tr w:rsidR="001C571F" w:rsidTr="00FB6C2C">
        <w:trPr>
          <w:jc w:val="center"/>
        </w:trPr>
        <w:tc>
          <w:tcPr>
            <w:tcW w:w="2821" w:type="dxa"/>
          </w:tcPr>
          <w:p w:rsidR="001C571F" w:rsidRDefault="001C571F" w:rsidP="001C571F">
            <w:pPr>
              <w:jc w:val="both"/>
            </w:pPr>
            <w:r>
              <w:t>Bacterial Species</w:t>
            </w:r>
          </w:p>
        </w:tc>
        <w:tc>
          <w:tcPr>
            <w:tcW w:w="1961" w:type="dxa"/>
          </w:tcPr>
          <w:p w:rsidR="001C571F" w:rsidRDefault="001C571F" w:rsidP="001C571F">
            <w:pPr>
              <w:jc w:val="both"/>
            </w:pPr>
            <w:r>
              <w:t>Accession number</w:t>
            </w:r>
          </w:p>
        </w:tc>
      </w:tr>
      <w:tr w:rsidR="001C571F" w:rsidTr="00FB6C2C">
        <w:trPr>
          <w:jc w:val="center"/>
        </w:trPr>
        <w:tc>
          <w:tcPr>
            <w:tcW w:w="2821" w:type="dxa"/>
          </w:tcPr>
          <w:p w:rsidR="001C571F" w:rsidRDefault="001C571F" w:rsidP="001C571F">
            <w:pPr>
              <w:jc w:val="both"/>
            </w:pPr>
            <w:r w:rsidRPr="00F311CA">
              <w:rPr>
                <w:i/>
                <w:iCs/>
                <w:lang w:val="el-GR"/>
              </w:rPr>
              <w:t>Enterobacter hormaechei</w:t>
            </w:r>
          </w:p>
        </w:tc>
        <w:tc>
          <w:tcPr>
            <w:tcW w:w="1961" w:type="dxa"/>
          </w:tcPr>
          <w:p w:rsidR="001C571F" w:rsidRDefault="001C571F" w:rsidP="001C571F">
            <w:pPr>
              <w:jc w:val="both"/>
            </w:pPr>
            <w:r>
              <w:rPr>
                <w:sz w:val="20"/>
                <w:szCs w:val="20"/>
              </w:rPr>
              <w:t>JF772054</w:t>
            </w:r>
          </w:p>
        </w:tc>
      </w:tr>
      <w:tr w:rsidR="001C571F" w:rsidTr="00FB6C2C">
        <w:trPr>
          <w:jc w:val="center"/>
        </w:trPr>
        <w:tc>
          <w:tcPr>
            <w:tcW w:w="2821" w:type="dxa"/>
          </w:tcPr>
          <w:p w:rsidR="001C571F" w:rsidRDefault="001C571F" w:rsidP="001C571F">
            <w:pPr>
              <w:jc w:val="both"/>
            </w:pPr>
            <w:r w:rsidRPr="00F311CA">
              <w:rPr>
                <w:i/>
                <w:iCs/>
                <w:lang w:val="el-GR"/>
              </w:rPr>
              <w:t>Enterobacter cloacae</w:t>
            </w:r>
          </w:p>
        </w:tc>
        <w:tc>
          <w:tcPr>
            <w:tcW w:w="1961" w:type="dxa"/>
          </w:tcPr>
          <w:p w:rsidR="001C571F" w:rsidRPr="001E23E7" w:rsidRDefault="001C571F" w:rsidP="001C571F">
            <w:pPr>
              <w:jc w:val="both"/>
            </w:pPr>
            <w:r w:rsidRPr="001E23E7">
              <w:rPr>
                <w:rFonts w:ascii="Arial" w:hAnsi="Arial" w:cs="Arial"/>
                <w:color w:val="000000" w:themeColor="text1"/>
                <w:sz w:val="20"/>
                <w:szCs w:val="20"/>
              </w:rPr>
              <w:t>JF772064.1</w:t>
            </w:r>
          </w:p>
        </w:tc>
      </w:tr>
      <w:tr w:rsidR="001C571F" w:rsidTr="00FB6C2C">
        <w:trPr>
          <w:jc w:val="center"/>
        </w:trPr>
        <w:tc>
          <w:tcPr>
            <w:tcW w:w="2821" w:type="dxa"/>
          </w:tcPr>
          <w:p w:rsidR="001C571F" w:rsidRDefault="001C571F" w:rsidP="001C571F">
            <w:pPr>
              <w:jc w:val="both"/>
            </w:pPr>
            <w:r w:rsidRPr="004C76E3">
              <w:rPr>
                <w:i/>
                <w:iCs/>
                <w:lang w:val="el-GR"/>
              </w:rPr>
              <w:t>Klebsiella oxytoca</w:t>
            </w:r>
          </w:p>
        </w:tc>
        <w:tc>
          <w:tcPr>
            <w:tcW w:w="1961" w:type="dxa"/>
          </w:tcPr>
          <w:p w:rsidR="001C571F" w:rsidRDefault="001C571F" w:rsidP="001C571F">
            <w:pPr>
              <w:jc w:val="both"/>
            </w:pPr>
            <w:r w:rsidRPr="004C76E3">
              <w:rPr>
                <w:lang w:val="el-GR"/>
              </w:rPr>
              <w:t>U78183.1</w:t>
            </w:r>
          </w:p>
        </w:tc>
      </w:tr>
      <w:tr w:rsidR="001C571F" w:rsidTr="00FB6C2C">
        <w:trPr>
          <w:jc w:val="center"/>
        </w:trPr>
        <w:tc>
          <w:tcPr>
            <w:tcW w:w="2821" w:type="dxa"/>
          </w:tcPr>
          <w:p w:rsidR="001C571F" w:rsidRDefault="001C571F" w:rsidP="001C571F">
            <w:pPr>
              <w:jc w:val="both"/>
            </w:pPr>
            <w:r w:rsidRPr="004C76E3">
              <w:rPr>
                <w:i/>
                <w:iCs/>
                <w:lang w:val="el-GR"/>
              </w:rPr>
              <w:t>Pantoea dispers</w:t>
            </w:r>
            <w:r w:rsidRPr="004C76E3">
              <w:rPr>
                <w:i/>
                <w:iCs/>
                <w:lang w:val="en-US"/>
              </w:rPr>
              <w:t>a</w:t>
            </w:r>
          </w:p>
        </w:tc>
        <w:tc>
          <w:tcPr>
            <w:tcW w:w="1961" w:type="dxa"/>
          </w:tcPr>
          <w:p w:rsidR="001C571F" w:rsidRDefault="001C571F" w:rsidP="001C571F">
            <w:pPr>
              <w:jc w:val="both"/>
            </w:pPr>
            <w:r w:rsidRPr="004C76E3">
              <w:rPr>
                <w:lang w:val="el-GR"/>
              </w:rPr>
              <w:t>AY227805.1</w:t>
            </w:r>
          </w:p>
        </w:tc>
      </w:tr>
      <w:tr w:rsidR="001C571F" w:rsidTr="00FB6C2C">
        <w:trPr>
          <w:jc w:val="center"/>
        </w:trPr>
        <w:tc>
          <w:tcPr>
            <w:tcW w:w="2821" w:type="dxa"/>
          </w:tcPr>
          <w:p w:rsidR="001C571F" w:rsidRDefault="001C571F" w:rsidP="001C571F">
            <w:pPr>
              <w:jc w:val="both"/>
            </w:pPr>
            <w:r w:rsidRPr="004C76E3">
              <w:rPr>
                <w:i/>
                <w:iCs/>
                <w:lang w:val="el-GR"/>
              </w:rPr>
              <w:t>Erwinia chrysanthem</w:t>
            </w:r>
          </w:p>
        </w:tc>
        <w:tc>
          <w:tcPr>
            <w:tcW w:w="1961" w:type="dxa"/>
          </w:tcPr>
          <w:p w:rsidR="001C571F" w:rsidRDefault="001C571F" w:rsidP="001C571F">
            <w:pPr>
              <w:jc w:val="both"/>
            </w:pPr>
            <w:r w:rsidRPr="004C76E3">
              <w:rPr>
                <w:lang w:val="el-GR"/>
              </w:rPr>
              <w:t>EF530551.1</w:t>
            </w:r>
          </w:p>
        </w:tc>
      </w:tr>
      <w:tr w:rsidR="001C571F" w:rsidTr="00FB6C2C">
        <w:trPr>
          <w:jc w:val="center"/>
        </w:trPr>
        <w:tc>
          <w:tcPr>
            <w:tcW w:w="2821" w:type="dxa"/>
          </w:tcPr>
          <w:p w:rsidR="001C571F" w:rsidRDefault="001C571F" w:rsidP="001C571F">
            <w:pPr>
              <w:jc w:val="both"/>
            </w:pPr>
            <w:r w:rsidRPr="004C76E3">
              <w:rPr>
                <w:i/>
                <w:iCs/>
                <w:lang w:val="el-GR"/>
              </w:rPr>
              <w:t>Serratia rubidaea</w:t>
            </w:r>
          </w:p>
        </w:tc>
        <w:tc>
          <w:tcPr>
            <w:tcW w:w="1961" w:type="dxa"/>
          </w:tcPr>
          <w:p w:rsidR="001C571F" w:rsidRDefault="001C571F" w:rsidP="001C571F">
            <w:pPr>
              <w:jc w:val="both"/>
            </w:pPr>
            <w:r w:rsidRPr="004C76E3">
              <w:rPr>
                <w:lang w:val="el-GR"/>
              </w:rPr>
              <w:t>AJ233436.1</w:t>
            </w:r>
          </w:p>
        </w:tc>
      </w:tr>
      <w:tr w:rsidR="001C571F" w:rsidTr="00FB6C2C">
        <w:trPr>
          <w:jc w:val="center"/>
        </w:trPr>
        <w:tc>
          <w:tcPr>
            <w:tcW w:w="2821" w:type="dxa"/>
          </w:tcPr>
          <w:p w:rsidR="001C571F" w:rsidRPr="004C76E3" w:rsidRDefault="001C571F" w:rsidP="001C571F">
            <w:pPr>
              <w:jc w:val="both"/>
              <w:rPr>
                <w:i/>
                <w:iCs/>
                <w:lang w:val="el-GR"/>
              </w:rPr>
            </w:pPr>
            <w:r w:rsidRPr="004C76E3">
              <w:rPr>
                <w:i/>
                <w:iCs/>
                <w:lang w:val="el-GR"/>
              </w:rPr>
              <w:t>Morganella morganii</w:t>
            </w:r>
          </w:p>
        </w:tc>
        <w:tc>
          <w:tcPr>
            <w:tcW w:w="1961" w:type="dxa"/>
          </w:tcPr>
          <w:p w:rsidR="001C571F" w:rsidRPr="004C76E3" w:rsidRDefault="001C571F" w:rsidP="001C571F">
            <w:pPr>
              <w:jc w:val="both"/>
              <w:rPr>
                <w:lang w:val="el-GR"/>
              </w:rPr>
            </w:pPr>
            <w:r w:rsidRPr="004C76E3">
              <w:rPr>
                <w:iCs/>
                <w:lang w:val="el-GR"/>
              </w:rPr>
              <w:t>FJ219587.1</w:t>
            </w:r>
          </w:p>
        </w:tc>
      </w:tr>
      <w:tr w:rsidR="001C571F" w:rsidTr="00FB6C2C">
        <w:trPr>
          <w:jc w:val="center"/>
        </w:trPr>
        <w:tc>
          <w:tcPr>
            <w:tcW w:w="2821" w:type="dxa"/>
          </w:tcPr>
          <w:p w:rsidR="001C571F" w:rsidRPr="004C76E3" w:rsidRDefault="001C571F" w:rsidP="001C571F">
            <w:pPr>
              <w:jc w:val="both"/>
              <w:rPr>
                <w:i/>
                <w:iCs/>
              </w:rPr>
            </w:pPr>
            <w:r w:rsidRPr="004C76E3">
              <w:rPr>
                <w:i/>
                <w:iCs/>
                <w:lang w:val="el-GR"/>
              </w:rPr>
              <w:t>Providencia sp</w:t>
            </w:r>
            <w:r>
              <w:rPr>
                <w:i/>
                <w:iCs/>
              </w:rPr>
              <w:t>.</w:t>
            </w:r>
          </w:p>
        </w:tc>
        <w:tc>
          <w:tcPr>
            <w:tcW w:w="1961" w:type="dxa"/>
          </w:tcPr>
          <w:p w:rsidR="001C571F" w:rsidRPr="004C76E3" w:rsidRDefault="001C571F" w:rsidP="001C571F">
            <w:pPr>
              <w:jc w:val="both"/>
              <w:rPr>
                <w:lang w:val="el-GR"/>
              </w:rPr>
            </w:pPr>
            <w:r w:rsidRPr="004C76E3">
              <w:rPr>
                <w:iCs/>
                <w:lang w:val="el-GR"/>
              </w:rPr>
              <w:t>FJ866760.1</w:t>
            </w:r>
          </w:p>
        </w:tc>
      </w:tr>
      <w:tr w:rsidR="001C571F" w:rsidTr="00FB6C2C">
        <w:trPr>
          <w:jc w:val="center"/>
        </w:trPr>
        <w:tc>
          <w:tcPr>
            <w:tcW w:w="2821" w:type="dxa"/>
          </w:tcPr>
          <w:p w:rsidR="001C571F" w:rsidRPr="004C76E3" w:rsidRDefault="001C571F" w:rsidP="001C571F">
            <w:pPr>
              <w:jc w:val="both"/>
              <w:rPr>
                <w:i/>
                <w:iCs/>
                <w:lang w:val="el-GR"/>
              </w:rPr>
            </w:pPr>
            <w:r w:rsidRPr="004C76E3">
              <w:rPr>
                <w:i/>
                <w:iCs/>
                <w:lang w:val="el-GR"/>
              </w:rPr>
              <w:t>Proteus vulgaris</w:t>
            </w:r>
          </w:p>
        </w:tc>
        <w:tc>
          <w:tcPr>
            <w:tcW w:w="1961" w:type="dxa"/>
          </w:tcPr>
          <w:p w:rsidR="001C571F" w:rsidRPr="004C76E3" w:rsidRDefault="001C571F" w:rsidP="001C571F">
            <w:pPr>
              <w:jc w:val="both"/>
              <w:rPr>
                <w:lang w:val="el-GR"/>
              </w:rPr>
            </w:pPr>
            <w:r w:rsidRPr="004C76E3">
              <w:rPr>
                <w:iCs/>
                <w:lang w:val="el-GR"/>
              </w:rPr>
              <w:t>EU373433.1</w:t>
            </w:r>
          </w:p>
        </w:tc>
      </w:tr>
      <w:tr w:rsidR="001C571F" w:rsidTr="00FB6C2C">
        <w:trPr>
          <w:jc w:val="center"/>
        </w:trPr>
        <w:tc>
          <w:tcPr>
            <w:tcW w:w="2821" w:type="dxa"/>
          </w:tcPr>
          <w:p w:rsidR="001C571F" w:rsidRPr="004C76E3" w:rsidRDefault="001C571F" w:rsidP="001C571F">
            <w:pPr>
              <w:jc w:val="both"/>
              <w:rPr>
                <w:i/>
                <w:iCs/>
              </w:rPr>
            </w:pPr>
            <w:r w:rsidRPr="004C76E3">
              <w:rPr>
                <w:i/>
                <w:iCs/>
                <w:lang w:val="el-GR"/>
              </w:rPr>
              <w:t>Pasteurellaceae bacteriu</w:t>
            </w:r>
            <w:r w:rsidRPr="004C76E3">
              <w:rPr>
                <w:i/>
                <w:iCs/>
                <w:lang w:val="en-US"/>
              </w:rPr>
              <w:t>m</w:t>
            </w:r>
          </w:p>
        </w:tc>
        <w:tc>
          <w:tcPr>
            <w:tcW w:w="1961" w:type="dxa"/>
          </w:tcPr>
          <w:p w:rsidR="001C571F" w:rsidRPr="004C76E3" w:rsidRDefault="001C571F" w:rsidP="001C571F">
            <w:pPr>
              <w:jc w:val="both"/>
              <w:rPr>
                <w:lang w:val="el-GR"/>
              </w:rPr>
            </w:pPr>
            <w:r w:rsidRPr="004C76E3">
              <w:rPr>
                <w:iCs/>
                <w:lang w:val="el-GR"/>
              </w:rPr>
              <w:t>EF187250.1</w:t>
            </w:r>
          </w:p>
        </w:tc>
      </w:tr>
      <w:tr w:rsidR="001C571F" w:rsidTr="00FB6C2C">
        <w:trPr>
          <w:jc w:val="center"/>
        </w:trPr>
        <w:tc>
          <w:tcPr>
            <w:tcW w:w="2821" w:type="dxa"/>
          </w:tcPr>
          <w:p w:rsidR="001C571F" w:rsidRPr="004C76E3" w:rsidRDefault="001C571F" w:rsidP="001C571F">
            <w:pPr>
              <w:jc w:val="both"/>
              <w:rPr>
                <w:i/>
                <w:iCs/>
                <w:lang w:val="el-GR"/>
              </w:rPr>
            </w:pPr>
            <w:r w:rsidRPr="004C76E3">
              <w:rPr>
                <w:i/>
                <w:iCs/>
                <w:lang w:val="el-GR"/>
              </w:rPr>
              <w:t>Pseudomonas pachastrellae</w:t>
            </w:r>
          </w:p>
        </w:tc>
        <w:tc>
          <w:tcPr>
            <w:tcW w:w="1961" w:type="dxa"/>
          </w:tcPr>
          <w:p w:rsidR="001C571F" w:rsidRPr="004C76E3" w:rsidRDefault="001C571F" w:rsidP="001C571F">
            <w:pPr>
              <w:jc w:val="both"/>
              <w:rPr>
                <w:lang w:val="el-GR"/>
              </w:rPr>
            </w:pPr>
            <w:r w:rsidRPr="004C76E3">
              <w:rPr>
                <w:iCs/>
                <w:lang w:val="el-GR"/>
              </w:rPr>
              <w:t>EU603457.1</w:t>
            </w:r>
          </w:p>
        </w:tc>
      </w:tr>
      <w:tr w:rsidR="001C571F" w:rsidTr="00FB6C2C">
        <w:trPr>
          <w:jc w:val="center"/>
        </w:trPr>
        <w:tc>
          <w:tcPr>
            <w:tcW w:w="2821" w:type="dxa"/>
          </w:tcPr>
          <w:p w:rsidR="001C571F" w:rsidRPr="004C76E3" w:rsidRDefault="001C571F" w:rsidP="001C571F">
            <w:pPr>
              <w:jc w:val="both"/>
              <w:rPr>
                <w:i/>
                <w:iCs/>
                <w:lang w:val="el-GR"/>
              </w:rPr>
            </w:pPr>
            <w:r w:rsidRPr="004C76E3">
              <w:rPr>
                <w:i/>
                <w:iCs/>
                <w:lang w:val="el-GR"/>
              </w:rPr>
              <w:t>Acinetobacter calcoaceticus</w:t>
            </w:r>
          </w:p>
        </w:tc>
        <w:tc>
          <w:tcPr>
            <w:tcW w:w="1961" w:type="dxa"/>
          </w:tcPr>
          <w:p w:rsidR="001C571F" w:rsidRPr="004C76E3" w:rsidRDefault="001C571F" w:rsidP="001C571F">
            <w:pPr>
              <w:jc w:val="both"/>
              <w:rPr>
                <w:lang w:val="el-GR"/>
              </w:rPr>
            </w:pPr>
            <w:r w:rsidRPr="004C76E3">
              <w:rPr>
                <w:iCs/>
                <w:lang w:val="el-GR"/>
              </w:rPr>
              <w:t>FJ867364.1</w:t>
            </w:r>
          </w:p>
        </w:tc>
      </w:tr>
      <w:tr w:rsidR="001C571F" w:rsidTr="00FB6C2C">
        <w:trPr>
          <w:jc w:val="center"/>
        </w:trPr>
        <w:tc>
          <w:tcPr>
            <w:tcW w:w="2821" w:type="dxa"/>
          </w:tcPr>
          <w:p w:rsidR="001C571F" w:rsidRPr="004C76E3" w:rsidRDefault="001C571F" w:rsidP="001C571F">
            <w:pPr>
              <w:jc w:val="both"/>
              <w:rPr>
                <w:i/>
                <w:iCs/>
                <w:lang w:val="el-GR"/>
              </w:rPr>
            </w:pPr>
            <w:r w:rsidRPr="004C76E3">
              <w:rPr>
                <w:i/>
                <w:iCs/>
                <w:lang w:val="el-GR"/>
              </w:rPr>
              <w:t>Enterococcus faecalis</w:t>
            </w:r>
          </w:p>
        </w:tc>
        <w:tc>
          <w:tcPr>
            <w:tcW w:w="1961" w:type="dxa"/>
          </w:tcPr>
          <w:p w:rsidR="001C571F" w:rsidRPr="004C76E3" w:rsidRDefault="001C571F" w:rsidP="001C571F">
            <w:pPr>
              <w:jc w:val="both"/>
              <w:rPr>
                <w:iCs/>
                <w:lang w:val="el-GR"/>
              </w:rPr>
            </w:pPr>
            <w:r w:rsidRPr="004C76E3">
              <w:rPr>
                <w:iCs/>
                <w:lang w:val="el-GR"/>
              </w:rPr>
              <w:t>EF653454.1</w:t>
            </w:r>
          </w:p>
        </w:tc>
      </w:tr>
      <w:tr w:rsidR="001C571F" w:rsidTr="00FB6C2C">
        <w:trPr>
          <w:jc w:val="center"/>
        </w:trPr>
        <w:tc>
          <w:tcPr>
            <w:tcW w:w="2821" w:type="dxa"/>
          </w:tcPr>
          <w:p w:rsidR="001C571F" w:rsidRPr="004C76E3" w:rsidRDefault="001C571F" w:rsidP="001C571F">
            <w:pPr>
              <w:jc w:val="both"/>
              <w:rPr>
                <w:i/>
                <w:iCs/>
              </w:rPr>
            </w:pPr>
            <w:r w:rsidRPr="004C76E3">
              <w:rPr>
                <w:i/>
                <w:iCs/>
                <w:lang w:val="el-GR"/>
              </w:rPr>
              <w:t>Bacillus cib</w:t>
            </w:r>
            <w:proofErr w:type="spellStart"/>
            <w:r w:rsidRPr="004C76E3">
              <w:rPr>
                <w:i/>
                <w:iCs/>
                <w:lang w:val="en-US"/>
              </w:rPr>
              <w:t>i</w:t>
            </w:r>
            <w:proofErr w:type="spellEnd"/>
          </w:p>
        </w:tc>
        <w:tc>
          <w:tcPr>
            <w:tcW w:w="1961" w:type="dxa"/>
          </w:tcPr>
          <w:p w:rsidR="001C571F" w:rsidRPr="004C76E3" w:rsidRDefault="001C571F" w:rsidP="001C571F">
            <w:pPr>
              <w:jc w:val="both"/>
              <w:rPr>
                <w:iCs/>
                <w:lang w:val="el-GR"/>
              </w:rPr>
            </w:pPr>
            <w:r w:rsidRPr="004C76E3">
              <w:rPr>
                <w:iCs/>
                <w:lang w:val="el-GR"/>
              </w:rPr>
              <w:t>FJ458438.1</w:t>
            </w:r>
          </w:p>
        </w:tc>
      </w:tr>
    </w:tbl>
    <w:p w:rsidR="00F91AE4" w:rsidRPr="00F91AE4" w:rsidRDefault="00F91AE4" w:rsidP="00F91AE4">
      <w:pPr>
        <w:pStyle w:val="ListParagraph"/>
        <w:jc w:val="both"/>
        <w:rPr>
          <w:sz w:val="20"/>
          <w:szCs w:val="20"/>
        </w:rPr>
      </w:pPr>
    </w:p>
    <w:p w:rsidR="0075393B" w:rsidRPr="00F91AE4" w:rsidRDefault="00F91AE4" w:rsidP="00F91AE4">
      <w:pPr>
        <w:pStyle w:val="ListParagraph"/>
        <w:numPr>
          <w:ilvl w:val="0"/>
          <w:numId w:val="1"/>
        </w:numPr>
        <w:jc w:val="both"/>
        <w:rPr>
          <w:sz w:val="20"/>
          <w:szCs w:val="20"/>
        </w:rPr>
      </w:pPr>
      <w:r w:rsidRPr="00F91AE4">
        <w:rPr>
          <w:rFonts w:ascii="Times New Roman" w:hAnsi="Times New Roman" w:cs="Times New Roman"/>
          <w:noProof/>
          <w:sz w:val="20"/>
          <w:szCs w:val="20"/>
        </w:rPr>
        <w:t>Wang H, Jin L, Peng T, Zhang H, Chen Q, Hua Y. Identification of cultivable bacteria in the intestinal tract of Bactrocera dorsalis from three different populations and determination of their attractive potential. PEST Manag Sci. 2014;70(1):80–7.</w:t>
      </w:r>
    </w:p>
    <w:p w:rsidR="00F91AE4" w:rsidRPr="00F91AE4" w:rsidRDefault="00F91AE4" w:rsidP="00F91AE4">
      <w:pPr>
        <w:pStyle w:val="ListParagraph"/>
        <w:numPr>
          <w:ilvl w:val="0"/>
          <w:numId w:val="1"/>
        </w:numPr>
        <w:jc w:val="both"/>
        <w:rPr>
          <w:sz w:val="20"/>
          <w:szCs w:val="20"/>
        </w:rPr>
      </w:pPr>
      <w:r w:rsidRPr="00F91AE4">
        <w:rPr>
          <w:rFonts w:ascii="Times New Roman" w:hAnsi="Times New Roman" w:cs="Times New Roman"/>
          <w:noProof/>
          <w:sz w:val="20"/>
          <w:szCs w:val="20"/>
        </w:rPr>
        <w:t>Behar A, Yuval B, Jurkevitch E. Gut bacterial communities in the Mediterranean fruit fly (Ceratitis capitata) and their impact on host longevity. J Insect Physiol. September 2008;54(9):1377–83.</w:t>
      </w:r>
    </w:p>
    <w:sectPr w:rsidR="00F91AE4" w:rsidRPr="00F91AE4" w:rsidSect="00082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40C"/>
    <w:multiLevelType w:val="hybridMultilevel"/>
    <w:tmpl w:val="0632F4D2"/>
    <w:lvl w:ilvl="0" w:tplc="0408000F">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2A"/>
    <w:rsid w:val="00082EBC"/>
    <w:rsid w:val="001C10CE"/>
    <w:rsid w:val="001C571F"/>
    <w:rsid w:val="001E23E7"/>
    <w:rsid w:val="002F3754"/>
    <w:rsid w:val="003400D2"/>
    <w:rsid w:val="003A172A"/>
    <w:rsid w:val="004609EC"/>
    <w:rsid w:val="004C76E3"/>
    <w:rsid w:val="0075393B"/>
    <w:rsid w:val="00857401"/>
    <w:rsid w:val="008B2B01"/>
    <w:rsid w:val="009431CC"/>
    <w:rsid w:val="00AD73EA"/>
    <w:rsid w:val="00BB49E9"/>
    <w:rsid w:val="00BC4BFD"/>
    <w:rsid w:val="00C1493A"/>
    <w:rsid w:val="00C6580F"/>
    <w:rsid w:val="00C738B7"/>
    <w:rsid w:val="00C74FF4"/>
    <w:rsid w:val="00EB2FA4"/>
    <w:rsid w:val="00F311CA"/>
    <w:rsid w:val="00F91AE4"/>
    <w:rsid w:val="00FB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0D2"/>
    <w:rPr>
      <w:sz w:val="16"/>
      <w:szCs w:val="16"/>
    </w:rPr>
  </w:style>
  <w:style w:type="paragraph" w:styleId="CommentText">
    <w:name w:val="annotation text"/>
    <w:basedOn w:val="Normal"/>
    <w:link w:val="CommentTextChar"/>
    <w:uiPriority w:val="99"/>
    <w:semiHidden/>
    <w:unhideWhenUsed/>
    <w:rsid w:val="003400D2"/>
    <w:pPr>
      <w:spacing w:line="240" w:lineRule="auto"/>
    </w:pPr>
    <w:rPr>
      <w:sz w:val="20"/>
      <w:szCs w:val="20"/>
    </w:rPr>
  </w:style>
  <w:style w:type="character" w:customStyle="1" w:styleId="CommentTextChar">
    <w:name w:val="Comment Text Char"/>
    <w:basedOn w:val="DefaultParagraphFont"/>
    <w:link w:val="CommentText"/>
    <w:uiPriority w:val="99"/>
    <w:semiHidden/>
    <w:rsid w:val="003400D2"/>
    <w:rPr>
      <w:sz w:val="20"/>
      <w:szCs w:val="20"/>
    </w:rPr>
  </w:style>
  <w:style w:type="paragraph" w:styleId="CommentSubject">
    <w:name w:val="annotation subject"/>
    <w:basedOn w:val="CommentText"/>
    <w:next w:val="CommentText"/>
    <w:link w:val="CommentSubjectChar"/>
    <w:uiPriority w:val="99"/>
    <w:semiHidden/>
    <w:unhideWhenUsed/>
    <w:rsid w:val="003400D2"/>
    <w:rPr>
      <w:b/>
      <w:bCs/>
    </w:rPr>
  </w:style>
  <w:style w:type="character" w:customStyle="1" w:styleId="CommentSubjectChar">
    <w:name w:val="Comment Subject Char"/>
    <w:basedOn w:val="CommentTextChar"/>
    <w:link w:val="CommentSubject"/>
    <w:uiPriority w:val="99"/>
    <w:semiHidden/>
    <w:rsid w:val="003400D2"/>
    <w:rPr>
      <w:b/>
      <w:bCs/>
      <w:sz w:val="20"/>
      <w:szCs w:val="20"/>
    </w:rPr>
  </w:style>
  <w:style w:type="paragraph" w:styleId="BalloonText">
    <w:name w:val="Balloon Text"/>
    <w:basedOn w:val="Normal"/>
    <w:link w:val="BalloonTextChar"/>
    <w:uiPriority w:val="99"/>
    <w:semiHidden/>
    <w:unhideWhenUsed/>
    <w:rsid w:val="0034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D2"/>
    <w:rPr>
      <w:rFonts w:ascii="Tahoma" w:hAnsi="Tahoma" w:cs="Tahoma"/>
      <w:sz w:val="16"/>
      <w:szCs w:val="16"/>
    </w:rPr>
  </w:style>
  <w:style w:type="paragraph" w:styleId="ListParagraph">
    <w:name w:val="List Paragraph"/>
    <w:basedOn w:val="Normal"/>
    <w:uiPriority w:val="34"/>
    <w:qFormat/>
    <w:rsid w:val="00F91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0D2"/>
    <w:rPr>
      <w:sz w:val="16"/>
      <w:szCs w:val="16"/>
    </w:rPr>
  </w:style>
  <w:style w:type="paragraph" w:styleId="CommentText">
    <w:name w:val="annotation text"/>
    <w:basedOn w:val="Normal"/>
    <w:link w:val="CommentTextChar"/>
    <w:uiPriority w:val="99"/>
    <w:semiHidden/>
    <w:unhideWhenUsed/>
    <w:rsid w:val="003400D2"/>
    <w:pPr>
      <w:spacing w:line="240" w:lineRule="auto"/>
    </w:pPr>
    <w:rPr>
      <w:sz w:val="20"/>
      <w:szCs w:val="20"/>
    </w:rPr>
  </w:style>
  <w:style w:type="character" w:customStyle="1" w:styleId="CommentTextChar">
    <w:name w:val="Comment Text Char"/>
    <w:basedOn w:val="DefaultParagraphFont"/>
    <w:link w:val="CommentText"/>
    <w:uiPriority w:val="99"/>
    <w:semiHidden/>
    <w:rsid w:val="003400D2"/>
    <w:rPr>
      <w:sz w:val="20"/>
      <w:szCs w:val="20"/>
    </w:rPr>
  </w:style>
  <w:style w:type="paragraph" w:styleId="CommentSubject">
    <w:name w:val="annotation subject"/>
    <w:basedOn w:val="CommentText"/>
    <w:next w:val="CommentText"/>
    <w:link w:val="CommentSubjectChar"/>
    <w:uiPriority w:val="99"/>
    <w:semiHidden/>
    <w:unhideWhenUsed/>
    <w:rsid w:val="003400D2"/>
    <w:rPr>
      <w:b/>
      <w:bCs/>
    </w:rPr>
  </w:style>
  <w:style w:type="character" w:customStyle="1" w:styleId="CommentSubjectChar">
    <w:name w:val="Comment Subject Char"/>
    <w:basedOn w:val="CommentTextChar"/>
    <w:link w:val="CommentSubject"/>
    <w:uiPriority w:val="99"/>
    <w:semiHidden/>
    <w:rsid w:val="003400D2"/>
    <w:rPr>
      <w:b/>
      <w:bCs/>
      <w:sz w:val="20"/>
      <w:szCs w:val="20"/>
    </w:rPr>
  </w:style>
  <w:style w:type="paragraph" w:styleId="BalloonText">
    <w:name w:val="Balloon Text"/>
    <w:basedOn w:val="Normal"/>
    <w:link w:val="BalloonTextChar"/>
    <w:uiPriority w:val="99"/>
    <w:semiHidden/>
    <w:unhideWhenUsed/>
    <w:rsid w:val="0034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D2"/>
    <w:rPr>
      <w:rFonts w:ascii="Tahoma" w:hAnsi="Tahoma" w:cs="Tahoma"/>
      <w:sz w:val="16"/>
      <w:szCs w:val="16"/>
    </w:rPr>
  </w:style>
  <w:style w:type="paragraph" w:styleId="ListParagraph">
    <w:name w:val="List Paragraph"/>
    <w:basedOn w:val="Normal"/>
    <w:uiPriority w:val="34"/>
    <w:qFormat/>
    <w:rsid w:val="00F9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4021">
      <w:bodyDiv w:val="1"/>
      <w:marLeft w:val="0"/>
      <w:marRight w:val="0"/>
      <w:marTop w:val="0"/>
      <w:marBottom w:val="0"/>
      <w:divBdr>
        <w:top w:val="none" w:sz="0" w:space="0" w:color="auto"/>
        <w:left w:val="none" w:sz="0" w:space="0" w:color="auto"/>
        <w:bottom w:val="none" w:sz="0" w:space="0" w:color="auto"/>
        <w:right w:val="none" w:sz="0" w:space="0" w:color="auto"/>
      </w:divBdr>
    </w:div>
    <w:div w:id="593048793">
      <w:bodyDiv w:val="1"/>
      <w:marLeft w:val="0"/>
      <w:marRight w:val="0"/>
      <w:marTop w:val="0"/>
      <w:marBottom w:val="0"/>
      <w:divBdr>
        <w:top w:val="none" w:sz="0" w:space="0" w:color="auto"/>
        <w:left w:val="none" w:sz="0" w:space="0" w:color="auto"/>
        <w:bottom w:val="none" w:sz="0" w:space="0" w:color="auto"/>
        <w:right w:val="none" w:sz="0" w:space="0" w:color="auto"/>
      </w:divBdr>
    </w:div>
    <w:div w:id="969821904">
      <w:bodyDiv w:val="1"/>
      <w:marLeft w:val="0"/>
      <w:marRight w:val="0"/>
      <w:marTop w:val="0"/>
      <w:marBottom w:val="0"/>
      <w:divBdr>
        <w:top w:val="none" w:sz="0" w:space="0" w:color="auto"/>
        <w:left w:val="none" w:sz="0" w:space="0" w:color="auto"/>
        <w:bottom w:val="none" w:sz="0" w:space="0" w:color="auto"/>
        <w:right w:val="none" w:sz="0" w:space="0" w:color="auto"/>
      </w:divBdr>
    </w:div>
    <w:div w:id="1346710429">
      <w:bodyDiv w:val="1"/>
      <w:marLeft w:val="0"/>
      <w:marRight w:val="0"/>
      <w:marTop w:val="0"/>
      <w:marBottom w:val="0"/>
      <w:divBdr>
        <w:top w:val="none" w:sz="0" w:space="0" w:color="auto"/>
        <w:left w:val="none" w:sz="0" w:space="0" w:color="auto"/>
        <w:bottom w:val="none" w:sz="0" w:space="0" w:color="auto"/>
        <w:right w:val="none" w:sz="0" w:space="0" w:color="auto"/>
      </w:divBdr>
    </w:div>
    <w:div w:id="19273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AVGOUSTINOS, Antonios</dc:creator>
  <cp:lastModifiedBy>KYRITSIS, Georgios</cp:lastModifiedBy>
  <cp:revision>2</cp:revision>
  <dcterms:created xsi:type="dcterms:W3CDTF">2015-07-27T09:20:00Z</dcterms:created>
  <dcterms:modified xsi:type="dcterms:W3CDTF">2015-07-27T09:20:00Z</dcterms:modified>
</cp:coreProperties>
</file>