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1" w:rsidRPr="003F04EB" w:rsidRDefault="00E553E1" w:rsidP="00E55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S6 File. </w:t>
      </w:r>
      <w:r w:rsidRPr="003F04EB">
        <w:rPr>
          <w:rFonts w:ascii="Times New Roman" w:hAnsi="Times New Roman" w:cs="Times New Roman"/>
          <w:b/>
        </w:rPr>
        <w:t>Additional Analyses and Robustness Checks</w:t>
      </w:r>
      <w:r>
        <w:rPr>
          <w:rFonts w:ascii="Times New Roman" w:hAnsi="Times New Roman" w:cs="Times New Roman"/>
          <w:b/>
        </w:rPr>
        <w:t>.</w:t>
      </w:r>
    </w:p>
    <w:p w:rsidR="00E553E1" w:rsidRPr="003F04EB" w:rsidRDefault="00E553E1" w:rsidP="00E553E1">
      <w:pPr>
        <w:rPr>
          <w:rFonts w:ascii="Times New Roman" w:hAnsi="Times New Roman" w:cs="Times New Roman"/>
          <w:b/>
        </w:rPr>
      </w:pPr>
    </w:p>
    <w:p w:rsidR="00E553E1" w:rsidRPr="003F04EB" w:rsidRDefault="00E553E1" w:rsidP="00E553E1">
      <w:pPr>
        <w:rPr>
          <w:rFonts w:ascii="Times New Roman" w:hAnsi="Times New Roman" w:cs="Times New Roman"/>
        </w:rPr>
      </w:pPr>
      <w:r w:rsidRPr="003F04EB">
        <w:rPr>
          <w:rFonts w:ascii="Times New Roman" w:hAnsi="Times New Roman" w:cs="Times New Roman"/>
        </w:rPr>
        <w:t>The Kaplan-Meier plots and regression models for all five studies are presented below in</w:t>
      </w:r>
      <w:r>
        <w:rPr>
          <w:rFonts w:ascii="Times New Roman" w:hAnsi="Times New Roman" w:cs="Times New Roman"/>
        </w:rPr>
        <w:t xml:space="preserve"> Figure A and </w:t>
      </w:r>
      <w:r>
        <w:rPr>
          <w:rFonts w:ascii="Times New Roman" w:hAnsi="Times New Roman" w:cs="Times New Roman"/>
        </w:rPr>
        <w:t>Tables D and E</w:t>
      </w:r>
      <w:r w:rsidRPr="003F04EB">
        <w:rPr>
          <w:rFonts w:ascii="Times New Roman" w:hAnsi="Times New Roman" w:cs="Times New Roman"/>
        </w:rPr>
        <w:t>. With the exception of Study 3</w:t>
      </w:r>
      <w:r>
        <w:rPr>
          <w:rFonts w:ascii="Times New Roman" w:hAnsi="Times New Roman" w:cs="Times New Roman"/>
        </w:rPr>
        <w:t xml:space="preserve"> (presented in </w:t>
      </w:r>
      <w:r>
        <w:rPr>
          <w:rFonts w:ascii="Times New Roman" w:hAnsi="Times New Roman" w:cs="Times New Roman"/>
        </w:rPr>
        <w:t>Table C</w:t>
      </w:r>
      <w:r>
        <w:rPr>
          <w:rFonts w:ascii="Times New Roman" w:hAnsi="Times New Roman" w:cs="Times New Roman"/>
        </w:rPr>
        <w:t>)</w:t>
      </w:r>
      <w:r w:rsidRPr="003F04EB">
        <w:rPr>
          <w:rFonts w:ascii="Times New Roman" w:hAnsi="Times New Roman" w:cs="Times New Roman"/>
        </w:rPr>
        <w:t xml:space="preserve">, which included the dead and retired </w:t>
      </w:r>
      <w:r>
        <w:rPr>
          <w:rFonts w:ascii="Times New Roman" w:hAnsi="Times New Roman" w:cs="Times New Roman"/>
        </w:rPr>
        <w:t>s</w:t>
      </w:r>
      <w:r w:rsidRPr="003F04EB">
        <w:rPr>
          <w:rFonts w:ascii="Times New Roman" w:hAnsi="Times New Roman" w:cs="Times New Roman"/>
        </w:rPr>
        <w:t xml:space="preserve">enators, across all studies we find consistent evidence of an editorial bias favoring positive facts and cited facts. </w:t>
      </w:r>
      <w:r>
        <w:rPr>
          <w:rFonts w:ascii="Times New Roman" w:hAnsi="Times New Roman" w:cs="Times New Roman"/>
        </w:rPr>
        <w:t xml:space="preserve">Pooled results showing that positive and cited facts are more likely to survive are presented in </w:t>
      </w:r>
      <w:r>
        <w:rPr>
          <w:rFonts w:ascii="Times New Roman" w:hAnsi="Times New Roman" w:cs="Times New Roman"/>
        </w:rPr>
        <w:t>Tables A and B.</w:t>
      </w:r>
    </w:p>
    <w:p w:rsidR="00E553E1" w:rsidRPr="003F04EB" w:rsidRDefault="00E553E1" w:rsidP="00E553E1">
      <w:pPr>
        <w:rPr>
          <w:rFonts w:ascii="Times New Roman" w:hAnsi="Times New Roman" w:cs="Times New Roman"/>
        </w:rPr>
      </w:pPr>
    </w:p>
    <w:p w:rsidR="00E553E1" w:rsidRPr="003F04EB" w:rsidRDefault="00E553E1" w:rsidP="00E553E1">
      <w:pPr>
        <w:rPr>
          <w:rFonts w:ascii="Times New Roman" w:hAnsi="Times New Roman" w:cs="Times New Roman"/>
          <w:b/>
        </w:rPr>
      </w:pPr>
      <w:r w:rsidRPr="003F04EB">
        <w:rPr>
          <w:rFonts w:ascii="Times New Roman" w:hAnsi="Times New Roman" w:cs="Times New Roman"/>
          <w:b/>
          <w:noProof/>
        </w:rPr>
        <w:drawing>
          <wp:inline distT="0" distB="0" distL="0" distR="0" wp14:anchorId="1FF5A89A" wp14:editId="2E51DEA2">
            <wp:extent cx="5486400" cy="4491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dual-plot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E1" w:rsidRPr="003F04EB" w:rsidRDefault="00E553E1" w:rsidP="00E553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Figure A</w:t>
      </w:r>
      <w:r w:rsidRPr="003F04EB">
        <w:rPr>
          <w:rFonts w:ascii="Times New Roman" w:hAnsi="Times New Roman" w:cs="Times New Roman"/>
          <w:i/>
        </w:rPr>
        <w:t>. Kaplan-Meier plots from all five studies.</w:t>
      </w:r>
    </w:p>
    <w:p w:rsidR="00E553E1" w:rsidRDefault="00E553E1" w:rsidP="00E553E1">
      <w:pPr>
        <w:rPr>
          <w:rFonts w:ascii="Times New Roman" w:hAnsi="Times New Roman" w:cs="Times New Roman"/>
          <w:i/>
        </w:rPr>
      </w:pPr>
    </w:p>
    <w:p w:rsidR="00E553E1" w:rsidRPr="002908DD" w:rsidRDefault="00E553E1" w:rsidP="00E553E1">
      <w:pPr>
        <w:pStyle w:val="NoSpacing1"/>
        <w:ind w:right="3430"/>
        <w:jc w:val="both"/>
        <w:rPr>
          <w:szCs w:val="20"/>
        </w:rPr>
      </w:pPr>
      <w:r>
        <w:rPr>
          <w:b/>
          <w:bCs/>
          <w:szCs w:val="20"/>
        </w:rPr>
        <w:t>Table A</w:t>
      </w:r>
      <w:r w:rsidRPr="002908DD">
        <w:rPr>
          <w:b/>
          <w:bCs/>
          <w:szCs w:val="20"/>
        </w:rPr>
        <w:t>: Pooled Cox Regression Estimates</w:t>
      </w:r>
    </w:p>
    <w:p w:rsidR="00E553E1" w:rsidRPr="002908DD" w:rsidRDefault="00E553E1" w:rsidP="00E553E1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3430"/>
        <w:jc w:val="both"/>
        <w:rPr>
          <w:b/>
          <w:iCs/>
          <w:sz w:val="20"/>
          <w:szCs w:val="20"/>
        </w:rPr>
      </w:pPr>
      <w:r w:rsidRPr="002908DD">
        <w:rPr>
          <w:b/>
          <w:bCs/>
          <w:sz w:val="20"/>
          <w:szCs w:val="20"/>
        </w:rPr>
        <w:t>Coefficient:</w:t>
      </w:r>
      <w:r w:rsidRPr="002908DD">
        <w:rPr>
          <w:b/>
          <w:bCs/>
          <w:sz w:val="20"/>
          <w:szCs w:val="20"/>
        </w:rPr>
        <w:tab/>
      </w:r>
      <w:r w:rsidRPr="002908DD">
        <w:rPr>
          <w:b/>
          <w:bCs/>
          <w:sz w:val="20"/>
          <w:szCs w:val="20"/>
        </w:rPr>
        <w:tab/>
      </w:r>
      <w:r w:rsidRPr="002908DD">
        <w:rPr>
          <w:b/>
          <w:bCs/>
          <w:sz w:val="20"/>
          <w:szCs w:val="20"/>
        </w:rPr>
        <w:tab/>
      </w:r>
      <w:r w:rsidRPr="002908DD">
        <w:rPr>
          <w:b/>
          <w:bCs/>
          <w:sz w:val="20"/>
          <w:szCs w:val="20"/>
        </w:rPr>
        <w:tab/>
      </w:r>
      <w:r w:rsidRPr="002908DD">
        <w:rPr>
          <w:b/>
          <w:bCs/>
          <w:sz w:val="20"/>
          <w:szCs w:val="20"/>
        </w:rPr>
        <w:tab/>
      </w:r>
      <w:r w:rsidRPr="002908DD">
        <w:rPr>
          <w:b/>
          <w:bCs/>
          <w:sz w:val="20"/>
          <w:szCs w:val="20"/>
        </w:rPr>
        <w:tab/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outlineLvl w:val="0"/>
        <w:rPr>
          <w:b/>
          <w:iCs/>
          <w:sz w:val="20"/>
          <w:szCs w:val="20"/>
        </w:rPr>
      </w:pPr>
      <w:r w:rsidRPr="002908DD">
        <w:rPr>
          <w:b/>
          <w:iCs/>
          <w:sz w:val="20"/>
          <w:szCs w:val="20"/>
        </w:rPr>
        <w:t>Positive</w:t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sz w:val="20"/>
          <w:szCs w:val="20"/>
        </w:rPr>
      </w:pPr>
      <w:r w:rsidRPr="002908DD">
        <w:rPr>
          <w:i/>
          <w:sz w:val="20"/>
          <w:szCs w:val="20"/>
        </w:rPr>
        <w:t>Coefficient: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0.629***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sz w:val="20"/>
          <w:szCs w:val="20"/>
        </w:rPr>
      </w:pPr>
      <w:r w:rsidRPr="002908DD">
        <w:rPr>
          <w:i/>
          <w:sz w:val="20"/>
          <w:szCs w:val="20"/>
        </w:rPr>
        <w:t>Standard error:</w:t>
      </w:r>
      <w:r w:rsidRPr="002908DD">
        <w:rPr>
          <w:sz w:val="20"/>
          <w:szCs w:val="20"/>
        </w:rPr>
        <w:t xml:space="preserve"> 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 xml:space="preserve"> (0.091)</w:t>
      </w:r>
      <w:r w:rsidRPr="002908DD">
        <w:rPr>
          <w:i/>
          <w:sz w:val="20"/>
          <w:szCs w:val="20"/>
        </w:rPr>
        <w:tab/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outlineLvl w:val="0"/>
        <w:rPr>
          <w:b/>
          <w:iCs/>
          <w:sz w:val="20"/>
          <w:szCs w:val="20"/>
        </w:rPr>
      </w:pPr>
      <w:r w:rsidRPr="002908DD">
        <w:rPr>
          <w:b/>
          <w:iCs/>
          <w:sz w:val="20"/>
          <w:szCs w:val="20"/>
        </w:rPr>
        <w:t>Cited</w:t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sz w:val="20"/>
          <w:szCs w:val="20"/>
        </w:rPr>
      </w:pPr>
      <w:r w:rsidRPr="002908DD">
        <w:rPr>
          <w:i/>
          <w:sz w:val="20"/>
          <w:szCs w:val="20"/>
        </w:rPr>
        <w:t>Coefficient: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0.429***</w:t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sz w:val="20"/>
          <w:szCs w:val="20"/>
        </w:rPr>
      </w:pPr>
      <w:r w:rsidRPr="002908DD">
        <w:rPr>
          <w:i/>
          <w:sz w:val="20"/>
          <w:szCs w:val="20"/>
        </w:rPr>
        <w:t>Standard error:</w:t>
      </w:r>
      <w:r w:rsidRPr="002908DD">
        <w:rPr>
          <w:sz w:val="20"/>
          <w:szCs w:val="20"/>
        </w:rPr>
        <w:t xml:space="preserve"> 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</w:r>
      <w:r w:rsidRPr="002908DD">
        <w:rPr>
          <w:i/>
          <w:sz w:val="20"/>
          <w:szCs w:val="20"/>
        </w:rPr>
        <w:tab/>
      </w:r>
      <w:r w:rsidRPr="002908DD">
        <w:rPr>
          <w:sz w:val="20"/>
          <w:szCs w:val="20"/>
        </w:rPr>
        <w:t>(0.069)</w:t>
      </w:r>
      <w:r w:rsidRPr="002908DD">
        <w:rPr>
          <w:i/>
          <w:sz w:val="20"/>
          <w:szCs w:val="20"/>
        </w:rPr>
        <w:tab/>
      </w: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b/>
          <w:sz w:val="20"/>
          <w:szCs w:val="20"/>
        </w:rPr>
      </w:pPr>
    </w:p>
    <w:p w:rsidR="00E553E1" w:rsidRPr="002908DD" w:rsidRDefault="00E553E1" w:rsidP="00E553E1">
      <w:pPr>
        <w:autoSpaceDE w:val="0"/>
        <w:autoSpaceDN w:val="0"/>
        <w:adjustRightInd w:val="0"/>
        <w:ind w:right="3430"/>
        <w:jc w:val="both"/>
        <w:rPr>
          <w:b/>
          <w:sz w:val="20"/>
          <w:szCs w:val="20"/>
        </w:rPr>
      </w:pPr>
      <w:r w:rsidRPr="002908DD">
        <w:rPr>
          <w:b/>
          <w:sz w:val="20"/>
          <w:szCs w:val="20"/>
        </w:rPr>
        <w:t>N</w:t>
      </w:r>
      <w:r w:rsidRPr="002908DD">
        <w:rPr>
          <w:b/>
          <w:sz w:val="20"/>
          <w:szCs w:val="20"/>
        </w:rPr>
        <w:tab/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300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200</w:t>
      </w:r>
    </w:p>
    <w:p w:rsidR="00E553E1" w:rsidRPr="002908DD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430"/>
        <w:jc w:val="both"/>
        <w:rPr>
          <w:b/>
          <w:sz w:val="20"/>
          <w:szCs w:val="20"/>
        </w:rPr>
      </w:pPr>
      <w:r w:rsidRPr="002908DD">
        <w:rPr>
          <w:b/>
          <w:sz w:val="20"/>
          <w:szCs w:val="20"/>
        </w:rPr>
        <w:t>Fixed Effects</w:t>
      </w:r>
      <w:r w:rsidRPr="002908DD">
        <w:rPr>
          <w:b/>
          <w:sz w:val="20"/>
          <w:szCs w:val="20"/>
        </w:rPr>
        <w:tab/>
      </w:r>
      <w:r w:rsidRPr="002908DD">
        <w:rPr>
          <w:b/>
          <w:sz w:val="20"/>
          <w:szCs w:val="20"/>
        </w:rPr>
        <w:tab/>
      </w:r>
      <w:r w:rsidRPr="002908DD">
        <w:rPr>
          <w:sz w:val="20"/>
          <w:szCs w:val="20"/>
        </w:rPr>
        <w:t>Yes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Yes</w:t>
      </w:r>
    </w:p>
    <w:p w:rsidR="00E553E1" w:rsidRPr="002908DD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430"/>
        <w:jc w:val="both"/>
        <w:rPr>
          <w:b/>
          <w:sz w:val="20"/>
          <w:szCs w:val="20"/>
        </w:rPr>
      </w:pPr>
      <w:r w:rsidRPr="002908DD">
        <w:rPr>
          <w:b/>
          <w:sz w:val="20"/>
          <w:szCs w:val="20"/>
        </w:rPr>
        <w:lastRenderedPageBreak/>
        <w:t>Covariates</w:t>
      </w:r>
      <w:r w:rsidRPr="002908DD">
        <w:rPr>
          <w:b/>
          <w:sz w:val="20"/>
          <w:szCs w:val="20"/>
        </w:rPr>
        <w:tab/>
      </w:r>
      <w:r w:rsidRPr="002908DD">
        <w:rPr>
          <w:b/>
          <w:sz w:val="20"/>
          <w:szCs w:val="20"/>
        </w:rPr>
        <w:tab/>
      </w:r>
      <w:r w:rsidRPr="002908DD">
        <w:rPr>
          <w:sz w:val="20"/>
          <w:szCs w:val="20"/>
        </w:rPr>
        <w:t>No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No</w:t>
      </w:r>
    </w:p>
    <w:p w:rsidR="00E553E1" w:rsidRPr="002908DD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430"/>
        <w:jc w:val="both"/>
        <w:rPr>
          <w:sz w:val="20"/>
          <w:szCs w:val="20"/>
        </w:rPr>
      </w:pPr>
      <w:r w:rsidRPr="002908DD">
        <w:rPr>
          <w:b/>
          <w:sz w:val="20"/>
          <w:szCs w:val="20"/>
        </w:rPr>
        <w:t>Studies</w:t>
      </w:r>
      <w:r w:rsidRPr="002908DD">
        <w:rPr>
          <w:b/>
          <w:sz w:val="20"/>
          <w:szCs w:val="20"/>
        </w:rPr>
        <w:tab/>
      </w:r>
      <w:r w:rsidRPr="002908DD">
        <w:rPr>
          <w:b/>
          <w:sz w:val="20"/>
          <w:szCs w:val="20"/>
        </w:rPr>
        <w:tab/>
      </w:r>
      <w:r w:rsidRPr="002908DD">
        <w:rPr>
          <w:sz w:val="20"/>
          <w:szCs w:val="20"/>
        </w:rPr>
        <w:t xml:space="preserve"> </w:t>
      </w:r>
      <w:r w:rsidRPr="002908DD">
        <w:rPr>
          <w:sz w:val="20"/>
          <w:szCs w:val="20"/>
        </w:rPr>
        <w:tab/>
        <w:t xml:space="preserve">1, </w:t>
      </w:r>
      <w:r>
        <w:rPr>
          <w:sz w:val="20"/>
          <w:szCs w:val="20"/>
        </w:rPr>
        <w:t>2,</w:t>
      </w:r>
      <w:r w:rsidRPr="002908DD">
        <w:rPr>
          <w:sz w:val="20"/>
          <w:szCs w:val="20"/>
        </w:rPr>
        <w:t xml:space="preserve">4 </w:t>
      </w:r>
      <w:r w:rsidRPr="002908DD">
        <w:rPr>
          <w:sz w:val="20"/>
          <w:szCs w:val="20"/>
        </w:rPr>
        <w:tab/>
      </w:r>
      <w:r w:rsidRPr="002908DD">
        <w:rPr>
          <w:sz w:val="20"/>
          <w:szCs w:val="20"/>
        </w:rPr>
        <w:tab/>
        <w:t>1,4</w:t>
      </w:r>
    </w:p>
    <w:p w:rsidR="00E553E1" w:rsidRPr="002908DD" w:rsidRDefault="00E553E1" w:rsidP="00E553E1">
      <w:pPr>
        <w:ind w:right="3430"/>
        <w:jc w:val="both"/>
        <w:rPr>
          <w:sz w:val="20"/>
          <w:szCs w:val="20"/>
        </w:rPr>
      </w:pPr>
      <w:r w:rsidRPr="002908DD">
        <w:rPr>
          <w:sz w:val="20"/>
          <w:szCs w:val="20"/>
        </w:rPr>
        <w:t>Note: *Significant at the 10% level; **Significant at the 5% level; ***Significant at the 1% level; Fixed Effects refer to fixed effe</w:t>
      </w:r>
      <w:r>
        <w:rPr>
          <w:sz w:val="20"/>
          <w:szCs w:val="20"/>
        </w:rPr>
        <w:t>cts for study wave; Covariates Y</w:t>
      </w:r>
      <w:r w:rsidRPr="002908DD">
        <w:rPr>
          <w:sz w:val="20"/>
          <w:szCs w:val="20"/>
        </w:rPr>
        <w:t xml:space="preserve">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 </w:t>
      </w:r>
    </w:p>
    <w:p w:rsidR="00E553E1" w:rsidRDefault="00E553E1" w:rsidP="00E553E1">
      <w:pPr>
        <w:rPr>
          <w:rFonts w:ascii="Times New Roman" w:hAnsi="Times New Roman" w:cs="Times New Roman"/>
          <w:b/>
        </w:rPr>
      </w:pPr>
    </w:p>
    <w:p w:rsidR="00E553E1" w:rsidRPr="000A511A" w:rsidRDefault="00E553E1" w:rsidP="00E553E1">
      <w:pPr>
        <w:pStyle w:val="NoSpacing1"/>
        <w:ind w:right="3510"/>
        <w:jc w:val="both"/>
        <w:rPr>
          <w:szCs w:val="20"/>
        </w:rPr>
      </w:pPr>
      <w:r>
        <w:rPr>
          <w:b/>
          <w:bCs/>
          <w:szCs w:val="20"/>
        </w:rPr>
        <w:t>Table B</w:t>
      </w:r>
      <w:r w:rsidRPr="000A511A">
        <w:rPr>
          <w:b/>
          <w:bCs/>
          <w:szCs w:val="20"/>
        </w:rPr>
        <w:t>:  Covariate Adjusted</w:t>
      </w:r>
      <w:r>
        <w:rPr>
          <w:b/>
          <w:bCs/>
          <w:szCs w:val="20"/>
        </w:rPr>
        <w:t xml:space="preserve"> Cox Regression</w:t>
      </w:r>
      <w:r w:rsidRPr="000A511A">
        <w:rPr>
          <w:b/>
          <w:bCs/>
          <w:szCs w:val="20"/>
        </w:rPr>
        <w:t xml:space="preserve"> Pooled Estimates</w:t>
      </w:r>
    </w:p>
    <w:p w:rsidR="00E553E1" w:rsidRPr="00452CC8" w:rsidRDefault="00E553E1" w:rsidP="00E553E1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Coefficient:</w:t>
      </w:r>
      <w:r w:rsidRPr="00452CC8">
        <w:rPr>
          <w:b/>
          <w:bCs/>
          <w:sz w:val="20"/>
          <w:szCs w:val="20"/>
        </w:rPr>
        <w:tab/>
      </w:r>
    </w:p>
    <w:p w:rsidR="00E553E1" w:rsidRPr="00452CC8" w:rsidRDefault="00E553E1" w:rsidP="00E553E1">
      <w:pPr>
        <w:autoSpaceDE w:val="0"/>
        <w:autoSpaceDN w:val="0"/>
        <w:adjustRightInd w:val="0"/>
        <w:ind w:right="3510"/>
        <w:jc w:val="both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Positive</w:t>
      </w:r>
    </w:p>
    <w:p w:rsidR="00E553E1" w:rsidRPr="00452CC8" w:rsidRDefault="00E553E1" w:rsidP="00E553E1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</w:r>
      <w:r w:rsidRPr="00452CC8">
        <w:rPr>
          <w:sz w:val="20"/>
          <w:szCs w:val="20"/>
        </w:rPr>
        <w:t>0.</w:t>
      </w:r>
      <w:r>
        <w:rPr>
          <w:sz w:val="20"/>
          <w:szCs w:val="20"/>
        </w:rPr>
        <w:t>6</w:t>
      </w:r>
      <w:r w:rsidRPr="0050471C">
        <w:rPr>
          <w:sz w:val="20"/>
          <w:szCs w:val="20"/>
        </w:rPr>
        <w:t>70</w:t>
      </w:r>
      <w:r>
        <w:rPr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53E1" w:rsidRPr="0022039E" w:rsidRDefault="00E553E1" w:rsidP="00E553E1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>
        <w:rPr>
          <w:i/>
          <w:sz w:val="20"/>
          <w:szCs w:val="20"/>
        </w:rPr>
        <w:t>Standard error</w:t>
      </w:r>
      <w:r w:rsidRPr="00452CC8">
        <w:rPr>
          <w:i/>
          <w:sz w:val="20"/>
          <w:szCs w:val="20"/>
        </w:rPr>
        <w:t>:</w:t>
      </w:r>
      <w:r w:rsidRPr="00452CC8"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 xml:space="preserve"> (</w:t>
      </w:r>
      <w:r w:rsidRPr="00140FE2">
        <w:rPr>
          <w:sz w:val="20"/>
          <w:szCs w:val="20"/>
        </w:rPr>
        <w:t>0.095</w:t>
      </w:r>
      <w:r>
        <w:rPr>
          <w:sz w:val="20"/>
          <w:szCs w:val="20"/>
        </w:rPr>
        <w:t>)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553E1" w:rsidRDefault="00E553E1" w:rsidP="00E553E1">
      <w:pPr>
        <w:autoSpaceDE w:val="0"/>
        <w:autoSpaceDN w:val="0"/>
        <w:adjustRightInd w:val="0"/>
        <w:ind w:right="351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Cited</w:t>
      </w:r>
    </w:p>
    <w:p w:rsidR="00E553E1" w:rsidRPr="00B306BA" w:rsidRDefault="00E553E1" w:rsidP="00E553E1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i/>
          <w:sz w:val="20"/>
          <w:szCs w:val="20"/>
        </w:rPr>
        <w:t>Coefficien</w:t>
      </w:r>
      <w:r>
        <w:rPr>
          <w:i/>
          <w:sz w:val="20"/>
          <w:szCs w:val="20"/>
        </w:rPr>
        <w:t xml:space="preserve">t: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0.352***</w:t>
      </w:r>
    </w:p>
    <w:p w:rsidR="00E553E1" w:rsidRPr="00B306BA" w:rsidRDefault="00E553E1" w:rsidP="00E553E1">
      <w:pP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Standard error: </w:t>
      </w:r>
      <w:r w:rsidRPr="00452C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(0.055)</w:t>
      </w:r>
    </w:p>
    <w:p w:rsidR="00E553E1" w:rsidRDefault="00E553E1" w:rsidP="00E553E1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</w:p>
    <w:p w:rsidR="00E553E1" w:rsidRPr="00452CC8" w:rsidRDefault="00E553E1" w:rsidP="00E553E1">
      <w:pP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</w:p>
    <w:p w:rsidR="00E553E1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452CC8">
        <w:rPr>
          <w:b/>
          <w:sz w:val="20"/>
          <w:szCs w:val="20"/>
        </w:rPr>
        <w:t>N</w:t>
      </w:r>
      <w:r w:rsidRPr="00452CC8">
        <w:rPr>
          <w:b/>
          <w:sz w:val="20"/>
          <w:szCs w:val="20"/>
        </w:rPr>
        <w:tab/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>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</w:t>
      </w:r>
      <w:r w:rsidRPr="00452CC8">
        <w:rPr>
          <w:sz w:val="20"/>
          <w:szCs w:val="20"/>
        </w:rPr>
        <w:tab/>
      </w:r>
      <w:r w:rsidRPr="00452C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53E1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 w:rsidRPr="00F357AB">
        <w:rPr>
          <w:b/>
          <w:sz w:val="20"/>
          <w:szCs w:val="20"/>
        </w:rPr>
        <w:t>Fixed Effects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53E1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sz w:val="20"/>
          <w:szCs w:val="20"/>
        </w:rPr>
      </w:pPr>
      <w:r>
        <w:rPr>
          <w:b/>
          <w:sz w:val="20"/>
          <w:szCs w:val="20"/>
        </w:rPr>
        <w:t>Covariates</w:t>
      </w:r>
      <w:r>
        <w:rPr>
          <w:b/>
          <w:sz w:val="20"/>
          <w:szCs w:val="20"/>
        </w:rPr>
        <w:tab/>
      </w:r>
      <w:r w:rsidRPr="00AB6C2E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B6C2E">
        <w:rPr>
          <w:sz w:val="20"/>
          <w:szCs w:val="20"/>
        </w:rPr>
        <w:t>Y</w:t>
      </w:r>
      <w:r>
        <w:rPr>
          <w:sz w:val="20"/>
          <w:szCs w:val="20"/>
        </w:rPr>
        <w:t>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53E1" w:rsidRPr="00D425E0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3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Studies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1,2,4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53E1" w:rsidRDefault="00E553E1" w:rsidP="00E553E1">
      <w:pPr>
        <w:ind w:right="3510"/>
        <w:jc w:val="both"/>
        <w:rPr>
          <w:sz w:val="20"/>
          <w:szCs w:val="20"/>
        </w:rPr>
      </w:pPr>
      <w:r w:rsidRPr="00452CC8">
        <w:rPr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*Significant at the 10%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**Significant at the 5% level;</w:t>
      </w:r>
      <w:r>
        <w:rPr>
          <w:sz w:val="20"/>
          <w:szCs w:val="20"/>
        </w:rPr>
        <w:t xml:space="preserve"> </w:t>
      </w:r>
      <w:r w:rsidRPr="00452CC8">
        <w:rPr>
          <w:sz w:val="20"/>
          <w:szCs w:val="20"/>
        </w:rPr>
        <w:t>***Significant at the 1% level</w:t>
      </w:r>
      <w:r w:rsidRPr="006A4337">
        <w:rPr>
          <w:sz w:val="20"/>
          <w:szCs w:val="20"/>
        </w:rPr>
        <w:t>; Fixed Effects refer to fixed effects for study wave; Covariates Yes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</w:t>
      </w:r>
    </w:p>
    <w:p w:rsidR="00E553E1" w:rsidRDefault="00E553E1" w:rsidP="00E553E1">
      <w:pPr>
        <w:jc w:val="both"/>
        <w:rPr>
          <w:sz w:val="20"/>
          <w:szCs w:val="20"/>
          <w:highlight w:val="yellow"/>
        </w:rPr>
      </w:pPr>
    </w:p>
    <w:p w:rsidR="00E553E1" w:rsidRPr="009A3FDC" w:rsidRDefault="00E553E1" w:rsidP="00E553E1">
      <w:pPr>
        <w:jc w:val="both"/>
        <w:rPr>
          <w:sz w:val="20"/>
          <w:szCs w:val="20"/>
          <w:highlight w:val="yellow"/>
        </w:rPr>
      </w:pPr>
    </w:p>
    <w:p w:rsidR="00E553E1" w:rsidRPr="006A4337" w:rsidRDefault="00E553E1" w:rsidP="00E553E1">
      <w:pPr>
        <w:pStyle w:val="NoSpacing1"/>
        <w:ind w:right="1720"/>
        <w:jc w:val="both"/>
        <w:rPr>
          <w:szCs w:val="20"/>
        </w:rPr>
      </w:pPr>
      <w:r>
        <w:rPr>
          <w:b/>
          <w:bCs/>
          <w:szCs w:val="20"/>
        </w:rPr>
        <w:t>Table C</w:t>
      </w:r>
      <w:r w:rsidRPr="006A4337">
        <w:rPr>
          <w:b/>
          <w:bCs/>
          <w:szCs w:val="20"/>
        </w:rPr>
        <w:t>: Study 3 Cox Regression Estimates for Dead and Retired Senators</w:t>
      </w:r>
    </w:p>
    <w:p w:rsidR="00E553E1" w:rsidRPr="006A4337" w:rsidRDefault="00E553E1" w:rsidP="00E553E1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ind w:right="1720"/>
        <w:jc w:val="both"/>
        <w:rPr>
          <w:b/>
          <w:iCs/>
          <w:sz w:val="20"/>
          <w:szCs w:val="20"/>
        </w:rPr>
      </w:pPr>
      <w:r w:rsidRPr="006A4337">
        <w:rPr>
          <w:b/>
          <w:bCs/>
          <w:sz w:val="20"/>
          <w:szCs w:val="20"/>
        </w:rPr>
        <w:t>Coefficient:</w:t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</w:p>
    <w:p w:rsidR="00E553E1" w:rsidRPr="006A4337" w:rsidRDefault="00E553E1" w:rsidP="00E553E1">
      <w:pPr>
        <w:autoSpaceDE w:val="0"/>
        <w:autoSpaceDN w:val="0"/>
        <w:adjustRightInd w:val="0"/>
        <w:ind w:right="1720"/>
        <w:jc w:val="both"/>
        <w:outlineLvl w:val="0"/>
        <w:rPr>
          <w:b/>
          <w:iCs/>
          <w:sz w:val="20"/>
          <w:szCs w:val="20"/>
        </w:rPr>
      </w:pPr>
      <w:r w:rsidRPr="006A4337">
        <w:rPr>
          <w:b/>
          <w:iCs/>
          <w:sz w:val="20"/>
          <w:szCs w:val="20"/>
        </w:rPr>
        <w:t>Positive</w:t>
      </w:r>
    </w:p>
    <w:p w:rsidR="00E553E1" w:rsidRPr="006A4337" w:rsidRDefault="00E553E1" w:rsidP="00E553E1">
      <w:pPr>
        <w:autoSpaceDE w:val="0"/>
        <w:autoSpaceDN w:val="0"/>
        <w:adjustRightInd w:val="0"/>
        <w:ind w:right="172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>Coefficient: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0.691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0.775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</w:r>
      <w:r>
        <w:rPr>
          <w:sz w:val="20"/>
          <w:szCs w:val="20"/>
        </w:rPr>
        <w:t xml:space="preserve"> 0.627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</w:r>
    </w:p>
    <w:p w:rsidR="00E553E1" w:rsidRPr="006A4337" w:rsidRDefault="00E553E1" w:rsidP="00E553E1">
      <w:pPr>
        <w:autoSpaceDE w:val="0"/>
        <w:autoSpaceDN w:val="0"/>
        <w:adjustRightInd w:val="0"/>
        <w:ind w:right="172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>Standard error:</w:t>
      </w:r>
      <w:r w:rsidRPr="006A4337">
        <w:rPr>
          <w:sz w:val="20"/>
          <w:szCs w:val="20"/>
        </w:rPr>
        <w:t xml:space="preserve"> 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 xml:space="preserve"> (0.</w:t>
      </w:r>
      <w:r>
        <w:rPr>
          <w:sz w:val="20"/>
          <w:szCs w:val="20"/>
        </w:rPr>
        <w:t>318</w:t>
      </w:r>
      <w:r w:rsidRPr="006A4337">
        <w:rPr>
          <w:sz w:val="20"/>
          <w:szCs w:val="20"/>
        </w:rPr>
        <w:t>)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>
        <w:rPr>
          <w:sz w:val="20"/>
          <w:szCs w:val="20"/>
        </w:rPr>
        <w:t>(0.503</w:t>
      </w:r>
      <w:r w:rsidRPr="006A4337">
        <w:rPr>
          <w:sz w:val="20"/>
          <w:szCs w:val="20"/>
        </w:rPr>
        <w:t>)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>
        <w:rPr>
          <w:sz w:val="20"/>
          <w:szCs w:val="20"/>
        </w:rPr>
        <w:t>(0.406</w:t>
      </w:r>
      <w:r w:rsidRPr="006A4337">
        <w:rPr>
          <w:sz w:val="20"/>
          <w:szCs w:val="20"/>
        </w:rPr>
        <w:t>)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</w:p>
    <w:p w:rsidR="00E553E1" w:rsidRPr="006A4337" w:rsidRDefault="00E553E1" w:rsidP="00E553E1">
      <w:pPr>
        <w:autoSpaceDE w:val="0"/>
        <w:autoSpaceDN w:val="0"/>
        <w:adjustRightInd w:val="0"/>
        <w:ind w:right="1720"/>
        <w:jc w:val="both"/>
        <w:rPr>
          <w:b/>
          <w:sz w:val="20"/>
          <w:szCs w:val="20"/>
        </w:rPr>
      </w:pPr>
    </w:p>
    <w:p w:rsidR="00E553E1" w:rsidRPr="006A4337" w:rsidRDefault="00E553E1" w:rsidP="00E553E1">
      <w:pPr>
        <w:autoSpaceDE w:val="0"/>
        <w:autoSpaceDN w:val="0"/>
        <w:adjustRightInd w:val="0"/>
        <w:ind w:right="1720"/>
        <w:jc w:val="both"/>
        <w:rPr>
          <w:b/>
          <w:sz w:val="20"/>
          <w:szCs w:val="20"/>
        </w:rPr>
      </w:pPr>
      <w:r w:rsidRPr="006A4337">
        <w:rPr>
          <w:b/>
          <w:sz w:val="20"/>
          <w:szCs w:val="20"/>
        </w:rPr>
        <w:t>N</w:t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151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72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79</w:t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1720"/>
        <w:jc w:val="both"/>
        <w:rPr>
          <w:b/>
          <w:sz w:val="20"/>
          <w:szCs w:val="20"/>
        </w:rPr>
      </w:pPr>
      <w:r w:rsidRPr="006A4337">
        <w:rPr>
          <w:b/>
          <w:sz w:val="20"/>
          <w:szCs w:val="20"/>
        </w:rPr>
        <w:t>Fixed Effects</w:t>
      </w:r>
      <w:r w:rsidRPr="006A4337">
        <w:rPr>
          <w:b/>
          <w:sz w:val="20"/>
          <w:szCs w:val="20"/>
        </w:rPr>
        <w:tab/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1720"/>
        <w:jc w:val="both"/>
        <w:rPr>
          <w:b/>
          <w:sz w:val="20"/>
          <w:szCs w:val="20"/>
        </w:rPr>
      </w:pPr>
      <w:r w:rsidRPr="006A4337">
        <w:rPr>
          <w:b/>
          <w:sz w:val="20"/>
          <w:szCs w:val="20"/>
        </w:rPr>
        <w:t>Covariates</w:t>
      </w:r>
      <w:r w:rsidRPr="006A4337">
        <w:rPr>
          <w:b/>
          <w:sz w:val="20"/>
          <w:szCs w:val="20"/>
        </w:rPr>
        <w:tab/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ind w:right="1720"/>
        <w:jc w:val="both"/>
        <w:rPr>
          <w:sz w:val="20"/>
          <w:szCs w:val="20"/>
        </w:rPr>
      </w:pPr>
      <w:r w:rsidRPr="006A4337">
        <w:rPr>
          <w:b/>
          <w:sz w:val="20"/>
          <w:szCs w:val="20"/>
        </w:rPr>
        <w:t>Studies</w:t>
      </w:r>
      <w:r w:rsidRPr="006A4337">
        <w:rPr>
          <w:b/>
          <w:sz w:val="20"/>
          <w:szCs w:val="20"/>
        </w:rPr>
        <w:tab/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 xml:space="preserve"> </w:t>
      </w:r>
      <w:r w:rsidRPr="006A4337">
        <w:rPr>
          <w:sz w:val="20"/>
          <w:szCs w:val="20"/>
        </w:rPr>
        <w:tab/>
        <w:t>3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3 (Retired)</w:t>
      </w:r>
      <w:r w:rsidRPr="006A4337">
        <w:rPr>
          <w:sz w:val="20"/>
          <w:szCs w:val="20"/>
        </w:rPr>
        <w:tab/>
        <w:t>3 (Dead)</w:t>
      </w:r>
    </w:p>
    <w:p w:rsidR="00E553E1" w:rsidRPr="00452CC8" w:rsidRDefault="00E553E1" w:rsidP="00E553E1">
      <w:pPr>
        <w:ind w:right="1720"/>
        <w:jc w:val="both"/>
        <w:rPr>
          <w:sz w:val="20"/>
          <w:szCs w:val="20"/>
        </w:rPr>
      </w:pPr>
      <w:r w:rsidRPr="006A4337">
        <w:rPr>
          <w:sz w:val="20"/>
          <w:szCs w:val="20"/>
        </w:rPr>
        <w:t>Note: *Significant at the 10% level; **Significant at the 5% level; ***Significant at the 1% level; Fixed Effects refer to fixed effects for study wave; Covariates Yes means controlling for the date and time order in which an edit was randomly assigned to be made, a binary variable for Republicans, Senate class, region (NE, S, W), length of incumbency, log of Wikipedia page character count before</w:t>
      </w:r>
      <w:r w:rsidRPr="002908DD">
        <w:rPr>
          <w:sz w:val="20"/>
          <w:szCs w:val="20"/>
        </w:rPr>
        <w:t xml:space="preserve"> Study 1 began, log of state population, and a dichotomous influence variable for party leaders and committee chairs.</w:t>
      </w:r>
    </w:p>
    <w:p w:rsidR="00E553E1" w:rsidRDefault="00E553E1" w:rsidP="00E553E1">
      <w:pPr>
        <w:rPr>
          <w:rFonts w:ascii="Times New Roman" w:hAnsi="Times New Roman" w:cs="Times New Roman"/>
          <w:i/>
        </w:rPr>
      </w:pPr>
    </w:p>
    <w:p w:rsidR="00E553E1" w:rsidRPr="006A4337" w:rsidRDefault="00E553E1" w:rsidP="00E553E1">
      <w:pPr>
        <w:pStyle w:val="NoSpacing1"/>
        <w:jc w:val="both"/>
        <w:rPr>
          <w:szCs w:val="20"/>
        </w:rPr>
      </w:pPr>
      <w:r>
        <w:rPr>
          <w:b/>
          <w:bCs/>
          <w:szCs w:val="20"/>
        </w:rPr>
        <w:t>Table D</w:t>
      </w:r>
      <w:r w:rsidRPr="006A4337">
        <w:rPr>
          <w:b/>
          <w:bCs/>
          <w:szCs w:val="20"/>
        </w:rPr>
        <w:t xml:space="preserve">: </w:t>
      </w:r>
      <w:proofErr w:type="gramStart"/>
      <w:r w:rsidRPr="006A4337">
        <w:rPr>
          <w:b/>
          <w:bCs/>
          <w:szCs w:val="20"/>
        </w:rPr>
        <w:t>Study by Study</w:t>
      </w:r>
      <w:proofErr w:type="gramEnd"/>
      <w:r>
        <w:rPr>
          <w:b/>
          <w:bCs/>
          <w:szCs w:val="20"/>
        </w:rPr>
        <w:t xml:space="preserve"> Cox Regression Estimates</w:t>
      </w:r>
      <w:r w:rsidRPr="006A4337">
        <w:rPr>
          <w:b/>
          <w:bCs/>
          <w:szCs w:val="20"/>
        </w:rPr>
        <w:t>, without Covariate Adjustment</w:t>
      </w:r>
    </w:p>
    <w:p w:rsidR="00E553E1" w:rsidRPr="006A4337" w:rsidRDefault="00E553E1" w:rsidP="00E553E1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A4337">
        <w:rPr>
          <w:b/>
          <w:bCs/>
          <w:sz w:val="20"/>
          <w:szCs w:val="20"/>
        </w:rPr>
        <w:t>Coefficient:</w:t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  <w:r w:rsidRPr="006A4337">
        <w:rPr>
          <w:b/>
          <w:bCs/>
          <w:sz w:val="20"/>
          <w:szCs w:val="20"/>
        </w:rPr>
        <w:tab/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outlineLvl w:val="0"/>
        <w:rPr>
          <w:b/>
          <w:iCs/>
          <w:sz w:val="20"/>
          <w:szCs w:val="20"/>
        </w:rPr>
      </w:pPr>
      <w:r w:rsidRPr="006A4337">
        <w:rPr>
          <w:b/>
          <w:iCs/>
          <w:sz w:val="20"/>
          <w:szCs w:val="20"/>
        </w:rPr>
        <w:t>Positive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>Coefficient:</w:t>
      </w:r>
      <w:r w:rsidRPr="006A4337">
        <w:rPr>
          <w:sz w:val="20"/>
          <w:szCs w:val="20"/>
        </w:rPr>
        <w:tab/>
        <w:t>0.532***</w:t>
      </w:r>
      <w:r w:rsidRPr="006A4337">
        <w:rPr>
          <w:sz w:val="20"/>
          <w:szCs w:val="20"/>
        </w:rPr>
        <w:tab/>
        <w:t>0.530*</w:t>
      </w:r>
      <w:r w:rsidRPr="006A43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337">
        <w:rPr>
          <w:sz w:val="20"/>
          <w:szCs w:val="20"/>
        </w:rPr>
        <w:t>0.857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0.580*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0.338***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>Standard error:</w:t>
      </w:r>
      <w:r w:rsidRPr="006A4337">
        <w:rPr>
          <w:sz w:val="20"/>
          <w:szCs w:val="20"/>
        </w:rPr>
        <w:t xml:space="preserve"> </w:t>
      </w:r>
      <w:r w:rsidRPr="006A4337">
        <w:rPr>
          <w:sz w:val="20"/>
          <w:szCs w:val="20"/>
        </w:rPr>
        <w:tab/>
        <w:t>(0.117)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sz w:val="20"/>
          <w:szCs w:val="20"/>
        </w:rPr>
        <w:t>(0.192)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 xml:space="preserve"> (0.213)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(0.181)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(0.127)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  <w:r w:rsidRPr="006A4337">
        <w:rPr>
          <w:b/>
          <w:iCs/>
          <w:sz w:val="20"/>
          <w:szCs w:val="20"/>
        </w:rPr>
        <w:t>Cited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 xml:space="preserve">Coefficient: </w:t>
      </w:r>
      <w:r w:rsidRPr="006A4337">
        <w:rPr>
          <w:i/>
          <w:sz w:val="20"/>
          <w:szCs w:val="20"/>
        </w:rPr>
        <w:tab/>
      </w:r>
      <w:r w:rsidRPr="006A4337">
        <w:rPr>
          <w:sz w:val="20"/>
          <w:szCs w:val="20"/>
        </w:rPr>
        <w:t>0.520***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sz w:val="20"/>
          <w:szCs w:val="20"/>
        </w:rPr>
        <w:t>0.358***</w:t>
      </w:r>
      <w:r w:rsidRPr="006A4337">
        <w:rPr>
          <w:sz w:val="20"/>
          <w:szCs w:val="20"/>
        </w:rPr>
        <w:tab/>
        <w:t>0.542*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i/>
          <w:sz w:val="20"/>
          <w:szCs w:val="20"/>
        </w:rPr>
        <w:t xml:space="preserve">Standard error: </w:t>
      </w:r>
      <w:r w:rsidRPr="006A4337">
        <w:rPr>
          <w:i/>
          <w:sz w:val="20"/>
          <w:szCs w:val="20"/>
        </w:rPr>
        <w:tab/>
      </w:r>
      <w:r w:rsidRPr="006A4337">
        <w:rPr>
          <w:sz w:val="20"/>
          <w:szCs w:val="20"/>
        </w:rPr>
        <w:t>(0.108)</w:t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i/>
          <w:sz w:val="20"/>
          <w:szCs w:val="20"/>
        </w:rPr>
        <w:tab/>
      </w:r>
      <w:r w:rsidRPr="006A4337">
        <w:rPr>
          <w:sz w:val="20"/>
          <w:szCs w:val="20"/>
        </w:rPr>
        <w:t xml:space="preserve"> (0.087)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(0.182)</w:t>
      </w:r>
    </w:p>
    <w:p w:rsidR="00E553E1" w:rsidRPr="006A4337" w:rsidRDefault="00E553E1" w:rsidP="00E553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b/>
          <w:sz w:val="20"/>
          <w:szCs w:val="20"/>
        </w:rPr>
        <w:t>N</w:t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ab/>
        <w:t>100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100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100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50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50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b/>
          <w:sz w:val="20"/>
          <w:szCs w:val="20"/>
        </w:rPr>
        <w:t>Fixed Effects</w:t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b/>
          <w:sz w:val="20"/>
          <w:szCs w:val="20"/>
        </w:rPr>
        <w:t>Covariates</w:t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No</w:t>
      </w:r>
      <w:r w:rsidRPr="006A4337">
        <w:rPr>
          <w:sz w:val="20"/>
          <w:szCs w:val="20"/>
        </w:rPr>
        <w:tab/>
      </w:r>
    </w:p>
    <w:p w:rsidR="00E553E1" w:rsidRPr="006A4337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6A4337">
        <w:rPr>
          <w:b/>
          <w:sz w:val="20"/>
          <w:szCs w:val="20"/>
        </w:rPr>
        <w:t>Studies</w:t>
      </w:r>
      <w:r w:rsidRPr="006A4337">
        <w:rPr>
          <w:b/>
          <w:sz w:val="20"/>
          <w:szCs w:val="20"/>
        </w:rPr>
        <w:tab/>
      </w:r>
      <w:r w:rsidRPr="006A4337">
        <w:rPr>
          <w:b/>
          <w:sz w:val="20"/>
          <w:szCs w:val="20"/>
        </w:rPr>
        <w:tab/>
      </w:r>
      <w:r w:rsidRPr="006A433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337">
        <w:rPr>
          <w:sz w:val="20"/>
          <w:szCs w:val="20"/>
        </w:rPr>
        <w:t>4</w:t>
      </w:r>
      <w:r w:rsidRPr="006A4337">
        <w:rPr>
          <w:sz w:val="20"/>
          <w:szCs w:val="20"/>
        </w:rPr>
        <w:tab/>
      </w:r>
      <w:r w:rsidRPr="006A4337">
        <w:rPr>
          <w:sz w:val="20"/>
          <w:szCs w:val="20"/>
        </w:rPr>
        <w:tab/>
        <w:t>5 (1</w:t>
      </w:r>
      <w:r w:rsidRPr="006A4337">
        <w:rPr>
          <w:sz w:val="20"/>
          <w:szCs w:val="20"/>
          <w:vertAlign w:val="superscript"/>
        </w:rPr>
        <w:t>st</w:t>
      </w:r>
      <w:r w:rsidRPr="006A4337">
        <w:rPr>
          <w:sz w:val="20"/>
          <w:szCs w:val="20"/>
        </w:rPr>
        <w:t xml:space="preserve"> Half)</w:t>
      </w:r>
      <w:r w:rsidRPr="006A4337">
        <w:rPr>
          <w:sz w:val="20"/>
          <w:szCs w:val="20"/>
        </w:rPr>
        <w:tab/>
        <w:t>5(2</w:t>
      </w:r>
      <w:r w:rsidRPr="006A433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Half)</w:t>
      </w:r>
    </w:p>
    <w:p w:rsidR="00E553E1" w:rsidRPr="006A4337" w:rsidRDefault="00E553E1" w:rsidP="00E553E1">
      <w:pPr>
        <w:jc w:val="both"/>
        <w:rPr>
          <w:sz w:val="20"/>
          <w:szCs w:val="20"/>
        </w:rPr>
      </w:pPr>
      <w:r w:rsidRPr="006A4337">
        <w:rPr>
          <w:sz w:val="20"/>
          <w:szCs w:val="20"/>
        </w:rPr>
        <w:t>Note: *Significant at the 10% level; **Significant at the 5% level; ***Significant at the 1% level; ****Date of entry and hour of entry removed to avoid convergence issues; Fixed Effects refer to fixed effects for study wave; Covariates Yes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</w:t>
      </w:r>
    </w:p>
    <w:p w:rsidR="00E553E1" w:rsidRDefault="00E553E1" w:rsidP="00E553E1">
      <w:pPr>
        <w:pStyle w:val="NoSpacing1"/>
        <w:jc w:val="both"/>
        <w:rPr>
          <w:b/>
          <w:bCs/>
          <w:sz w:val="20"/>
          <w:szCs w:val="20"/>
        </w:rPr>
      </w:pPr>
    </w:p>
    <w:p w:rsidR="00E553E1" w:rsidRPr="003F04EB" w:rsidRDefault="00E553E1" w:rsidP="00E553E1">
      <w:pPr>
        <w:rPr>
          <w:rFonts w:ascii="Times New Roman" w:hAnsi="Times New Roman" w:cs="Times New Roman"/>
          <w:i/>
        </w:rPr>
      </w:pPr>
    </w:p>
    <w:p w:rsidR="00E553E1" w:rsidRPr="003F04EB" w:rsidRDefault="00E553E1" w:rsidP="00E553E1">
      <w:pPr>
        <w:pStyle w:val="NoSpacing1"/>
        <w:jc w:val="both"/>
      </w:pPr>
      <w:r>
        <w:rPr>
          <w:b/>
          <w:bCs/>
        </w:rPr>
        <w:t>Table E</w:t>
      </w:r>
      <w:bookmarkStart w:id="0" w:name="_GoBack"/>
      <w:bookmarkEnd w:id="0"/>
      <w:r w:rsidRPr="003F04EB">
        <w:rPr>
          <w:b/>
          <w:bCs/>
        </w:rPr>
        <w:t xml:space="preserve">: </w:t>
      </w:r>
      <w:proofErr w:type="gramStart"/>
      <w:r w:rsidRPr="003F04EB">
        <w:rPr>
          <w:b/>
          <w:bCs/>
        </w:rPr>
        <w:t>Study by Study</w:t>
      </w:r>
      <w:proofErr w:type="gramEnd"/>
      <w:r>
        <w:rPr>
          <w:b/>
          <w:bCs/>
        </w:rPr>
        <w:t xml:space="preserve"> Cox Regression Estimates</w:t>
      </w:r>
      <w:r w:rsidRPr="003F04EB">
        <w:rPr>
          <w:b/>
          <w:bCs/>
        </w:rPr>
        <w:t>, with Covariate Adjustment</w:t>
      </w:r>
    </w:p>
    <w:p w:rsidR="00E553E1" w:rsidRPr="003F04EB" w:rsidRDefault="00E553E1" w:rsidP="00E553E1">
      <w:pPr>
        <w:pBdr>
          <w:top w:val="double" w:sz="6" w:space="1" w:color="auto"/>
          <w:bottom w:val="doub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</w:rPr>
      </w:pPr>
      <w:r w:rsidRPr="003F04EB">
        <w:rPr>
          <w:rFonts w:ascii="Times New Roman" w:hAnsi="Times New Roman" w:cs="Times New Roman"/>
          <w:b/>
          <w:bCs/>
          <w:sz w:val="20"/>
        </w:rPr>
        <w:t>Coefficient:</w:t>
      </w:r>
      <w:r w:rsidRPr="003F04EB">
        <w:rPr>
          <w:rFonts w:ascii="Times New Roman" w:hAnsi="Times New Roman" w:cs="Times New Roman"/>
          <w:b/>
          <w:bCs/>
          <w:sz w:val="20"/>
        </w:rPr>
        <w:tab/>
      </w:r>
      <w:r w:rsidRPr="003F04EB">
        <w:rPr>
          <w:rFonts w:ascii="Times New Roman" w:hAnsi="Times New Roman" w:cs="Times New Roman"/>
          <w:b/>
          <w:bCs/>
          <w:sz w:val="20"/>
        </w:rPr>
        <w:tab/>
      </w:r>
      <w:r w:rsidRPr="003F04EB">
        <w:rPr>
          <w:rFonts w:ascii="Times New Roman" w:hAnsi="Times New Roman" w:cs="Times New Roman"/>
          <w:b/>
          <w:bCs/>
          <w:sz w:val="20"/>
        </w:rPr>
        <w:tab/>
      </w:r>
      <w:r w:rsidRPr="003F04EB">
        <w:rPr>
          <w:rFonts w:ascii="Times New Roman" w:hAnsi="Times New Roman" w:cs="Times New Roman"/>
          <w:b/>
          <w:bCs/>
          <w:sz w:val="20"/>
        </w:rPr>
        <w:tab/>
      </w:r>
      <w:r w:rsidRPr="003F04EB">
        <w:rPr>
          <w:rFonts w:ascii="Times New Roman" w:hAnsi="Times New Roman" w:cs="Times New Roman"/>
          <w:b/>
          <w:bCs/>
          <w:sz w:val="20"/>
        </w:rPr>
        <w:tab/>
      </w:r>
      <w:r w:rsidRPr="003F04EB">
        <w:rPr>
          <w:rFonts w:ascii="Times New Roman" w:hAnsi="Times New Roman" w:cs="Times New Roman"/>
          <w:b/>
          <w:bCs/>
          <w:sz w:val="20"/>
        </w:rPr>
        <w:tab/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0"/>
        </w:rPr>
      </w:pPr>
      <w:r w:rsidRPr="003F04EB">
        <w:rPr>
          <w:rFonts w:ascii="Times New Roman" w:hAnsi="Times New Roman" w:cs="Times New Roman"/>
          <w:b/>
          <w:iCs/>
          <w:sz w:val="20"/>
        </w:rPr>
        <w:t>Positive</w:t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i/>
          <w:sz w:val="20"/>
        </w:rPr>
        <w:t>Coefficient:</w:t>
      </w:r>
      <w:r w:rsidRPr="003F04EB">
        <w:rPr>
          <w:rFonts w:ascii="Times New Roman" w:hAnsi="Times New Roman" w:cs="Times New Roman"/>
          <w:sz w:val="20"/>
        </w:rPr>
        <w:tab/>
        <w:t>0.532***</w:t>
      </w:r>
      <w:r w:rsidRPr="003F04EB">
        <w:rPr>
          <w:rFonts w:ascii="Times New Roman" w:hAnsi="Times New Roman" w:cs="Times New Roman"/>
          <w:sz w:val="20"/>
        </w:rPr>
        <w:tab/>
        <w:t>0.574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0.753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0.387***</w:t>
      </w:r>
      <w:r w:rsidRPr="003F04EB">
        <w:rPr>
          <w:rFonts w:ascii="Times New Roman" w:hAnsi="Times New Roman" w:cs="Times New Roman"/>
          <w:sz w:val="20"/>
        </w:rPr>
        <w:tab/>
        <w:t>0.274*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i/>
          <w:sz w:val="20"/>
        </w:rPr>
        <w:t>Standard error:</w:t>
      </w:r>
      <w:r w:rsidRPr="003F04EB">
        <w:rPr>
          <w:rFonts w:ascii="Times New Roman" w:hAnsi="Times New Roman" w:cs="Times New Roman"/>
          <w:sz w:val="20"/>
        </w:rPr>
        <w:t xml:space="preserve"> </w:t>
      </w:r>
      <w:r w:rsidRPr="003F04EB">
        <w:rPr>
          <w:rFonts w:ascii="Times New Roman" w:hAnsi="Times New Roman" w:cs="Times New Roman"/>
          <w:sz w:val="20"/>
        </w:rPr>
        <w:tab/>
        <w:t>(0.108)</w:t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(0.220)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(0.200)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(0.139)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(0.162)</w:t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0"/>
        </w:rPr>
      </w:pPr>
      <w:r w:rsidRPr="003F04EB">
        <w:rPr>
          <w:rFonts w:ascii="Times New Roman" w:hAnsi="Times New Roman" w:cs="Times New Roman"/>
          <w:b/>
          <w:iCs/>
          <w:sz w:val="20"/>
        </w:rPr>
        <w:t>Cited</w:t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i/>
          <w:sz w:val="20"/>
        </w:rPr>
        <w:t xml:space="preserve">Coefficient: </w:t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0.455***</w:t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0.239***</w:t>
      </w:r>
      <w:r w:rsidRPr="003F04EB">
        <w:rPr>
          <w:rFonts w:ascii="Times New Roman" w:hAnsi="Times New Roman" w:cs="Times New Roman"/>
          <w:sz w:val="20"/>
        </w:rPr>
        <w:tab/>
        <w:t>0.480*</w:t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i/>
          <w:sz w:val="20"/>
        </w:rPr>
        <w:t xml:space="preserve">Standard error: </w:t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(0.090)</w:t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i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(0.068)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(0.174)</w:t>
      </w: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</w:p>
    <w:p w:rsidR="00E553E1" w:rsidRPr="003F04EB" w:rsidRDefault="00E553E1" w:rsidP="00E5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</w:p>
    <w:p w:rsidR="00E553E1" w:rsidRPr="003F04EB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b/>
          <w:sz w:val="20"/>
        </w:rPr>
        <w:t>N</w:t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100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100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100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50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50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</w:r>
    </w:p>
    <w:p w:rsidR="00E553E1" w:rsidRPr="003F04EB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b/>
          <w:sz w:val="20"/>
        </w:rPr>
        <w:t>Fixed Effects</w:t>
      </w:r>
      <w:r w:rsidRPr="003F04EB">
        <w:rPr>
          <w:rFonts w:ascii="Times New Roman" w:hAnsi="Times New Roman" w:cs="Times New Roman"/>
          <w:sz w:val="20"/>
        </w:rPr>
        <w:tab/>
        <w:t>No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No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No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No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No</w:t>
      </w:r>
    </w:p>
    <w:p w:rsidR="00E553E1" w:rsidRPr="003F04EB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b/>
          <w:sz w:val="20"/>
        </w:rPr>
        <w:t>Covariates</w:t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Yes</w:t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>Yes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Yes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Yes^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Yes</w:t>
      </w:r>
    </w:p>
    <w:p w:rsidR="00E553E1" w:rsidRPr="003F04EB" w:rsidRDefault="00E553E1" w:rsidP="00E553E1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b/>
          <w:sz w:val="20"/>
        </w:rPr>
        <w:t>Studies</w:t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b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 xml:space="preserve"> 1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2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4</w:t>
      </w:r>
      <w:r w:rsidRPr="003F04EB">
        <w:rPr>
          <w:rFonts w:ascii="Times New Roman" w:hAnsi="Times New Roman" w:cs="Times New Roman"/>
          <w:sz w:val="20"/>
        </w:rPr>
        <w:tab/>
      </w:r>
      <w:r w:rsidRPr="003F04EB">
        <w:rPr>
          <w:rFonts w:ascii="Times New Roman" w:hAnsi="Times New Roman" w:cs="Times New Roman"/>
          <w:sz w:val="20"/>
        </w:rPr>
        <w:tab/>
        <w:t>5 (1</w:t>
      </w:r>
      <w:r w:rsidRPr="003F04EB">
        <w:rPr>
          <w:rFonts w:ascii="Times New Roman" w:hAnsi="Times New Roman" w:cs="Times New Roman"/>
          <w:sz w:val="20"/>
          <w:vertAlign w:val="superscript"/>
        </w:rPr>
        <w:t>st</w:t>
      </w:r>
      <w:r w:rsidRPr="003F04EB">
        <w:rPr>
          <w:rFonts w:ascii="Times New Roman" w:hAnsi="Times New Roman" w:cs="Times New Roman"/>
          <w:sz w:val="20"/>
        </w:rPr>
        <w:t xml:space="preserve"> Half)</w:t>
      </w:r>
      <w:r w:rsidRPr="003F04EB">
        <w:rPr>
          <w:rFonts w:ascii="Times New Roman" w:hAnsi="Times New Roman" w:cs="Times New Roman"/>
          <w:sz w:val="20"/>
        </w:rPr>
        <w:tab/>
        <w:t>5 (2</w:t>
      </w:r>
      <w:r w:rsidRPr="003F04EB">
        <w:rPr>
          <w:rFonts w:ascii="Times New Roman" w:hAnsi="Times New Roman" w:cs="Times New Roman"/>
          <w:sz w:val="20"/>
          <w:vertAlign w:val="superscript"/>
        </w:rPr>
        <w:t>nd</w:t>
      </w:r>
      <w:r w:rsidRPr="003F04EB">
        <w:rPr>
          <w:rFonts w:ascii="Times New Roman" w:hAnsi="Times New Roman" w:cs="Times New Roman"/>
          <w:sz w:val="20"/>
        </w:rPr>
        <w:t xml:space="preserve"> Half)</w:t>
      </w:r>
    </w:p>
    <w:p w:rsidR="00E553E1" w:rsidRDefault="00E553E1" w:rsidP="00E553E1">
      <w:pPr>
        <w:jc w:val="both"/>
        <w:rPr>
          <w:rFonts w:ascii="Times New Roman" w:hAnsi="Times New Roman" w:cs="Times New Roman"/>
          <w:sz w:val="20"/>
        </w:rPr>
      </w:pPr>
      <w:r w:rsidRPr="003F04EB">
        <w:rPr>
          <w:rFonts w:ascii="Times New Roman" w:hAnsi="Times New Roman" w:cs="Times New Roman"/>
          <w:sz w:val="20"/>
        </w:rPr>
        <w:t>Note: *Significant at the 10% level; **Significant at the 5% level; ***Significant at the 1% level; ^Date of entry, and hour of entry remo</w:t>
      </w:r>
      <w:r>
        <w:rPr>
          <w:rFonts w:ascii="Times New Roman" w:hAnsi="Times New Roman" w:cs="Times New Roman"/>
          <w:sz w:val="20"/>
        </w:rPr>
        <w:t>ved to avoid convergence issues</w:t>
      </w:r>
      <w:r w:rsidRPr="006A4337">
        <w:rPr>
          <w:sz w:val="20"/>
          <w:szCs w:val="20"/>
        </w:rPr>
        <w:t>; Fixed Effects refer to fixed effects for study wave; Covariates Yes means controlling for the date and time order in which an edit was randomly assigned to be made, a binary variable for Republicans, Senate class, region (NE, S, W), length of incumbency, log of Wikipedia page character count before Study 1 began, log of state population, and a dichotomous influence variable for party leaders and committee chairs.</w:t>
      </w:r>
    </w:p>
    <w:p w:rsidR="00D31EFB" w:rsidRDefault="00D31EFB"/>
    <w:sectPr w:rsidR="00D31EFB" w:rsidSect="00D31E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1"/>
    <w:rsid w:val="00B77136"/>
    <w:rsid w:val="00D31EFB"/>
    <w:rsid w:val="00E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51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E553E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36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semiHidden/>
    <w:qFormat/>
    <w:rsid w:val="00E553E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Macintosh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Kalla</dc:creator>
  <cp:keywords/>
  <dc:description/>
  <cp:lastModifiedBy>Joshua Kalla</cp:lastModifiedBy>
  <cp:revision>1</cp:revision>
  <dcterms:created xsi:type="dcterms:W3CDTF">2015-08-15T18:06:00Z</dcterms:created>
  <dcterms:modified xsi:type="dcterms:W3CDTF">2015-08-15T18:08:00Z</dcterms:modified>
</cp:coreProperties>
</file>