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E" w:rsidRDefault="005D4997" w:rsidP="00EA7F5E">
      <w:pPr>
        <w:spacing w:line="240" w:lineRule="auto"/>
        <w:ind w:firstLineChars="0" w:firstLine="0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 xml:space="preserve">S2 </w:t>
      </w:r>
      <w:r w:rsidR="00EA7F5E" w:rsidRPr="00EA7F5E">
        <w:rPr>
          <w:rFonts w:ascii="Times New Roman" w:eastAsia="宋体" w:hAnsi="Times New Roman" w:cs="Times New Roman"/>
          <w:b/>
          <w:szCs w:val="21"/>
        </w:rPr>
        <w:t>Table</w:t>
      </w:r>
      <w:r>
        <w:rPr>
          <w:rFonts w:ascii="Times New Roman" w:eastAsia="宋体" w:hAnsi="Times New Roman" w:cs="Times New Roman" w:hint="eastAsia"/>
          <w:b/>
          <w:szCs w:val="21"/>
        </w:rPr>
        <w:t>.</w:t>
      </w:r>
      <w:r w:rsidR="00EA7F5E" w:rsidRPr="00EA7F5E">
        <w:rPr>
          <w:rFonts w:ascii="Times New Roman" w:eastAsia="宋体" w:hAnsi="Times New Roman" w:cs="Times New Roman"/>
          <w:b/>
          <w:szCs w:val="21"/>
        </w:rPr>
        <w:t xml:space="preserve"> Newcastle – Ottawa quality assessment scale </w:t>
      </w:r>
      <w:r w:rsidR="00EA7F5E" w:rsidRPr="00EA7F5E">
        <w:rPr>
          <w:rFonts w:ascii="Times New Roman" w:eastAsia="宋体" w:hAnsi="Times New Roman" w:cs="Times New Roman"/>
          <w:b/>
          <w:szCs w:val="21"/>
        </w:rPr>
        <w:t>（</w:t>
      </w:r>
      <w:r w:rsidR="00EA7F5E" w:rsidRPr="00EA7F5E">
        <w:rPr>
          <w:rFonts w:ascii="Times New Roman" w:eastAsia="宋体" w:hAnsi="Times New Roman" w:cs="Times New Roman"/>
          <w:b/>
          <w:szCs w:val="21"/>
        </w:rPr>
        <w:t>cohort studies</w:t>
      </w:r>
      <w:r w:rsidR="00EA7F5E" w:rsidRPr="00EA7F5E">
        <w:rPr>
          <w:rFonts w:ascii="Times New Roman" w:eastAsia="宋体" w:hAnsi="Times New Roman" w:cs="Times New Roman"/>
          <w:b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17"/>
        <w:gridCol w:w="993"/>
        <w:gridCol w:w="1984"/>
        <w:gridCol w:w="1701"/>
        <w:gridCol w:w="1418"/>
        <w:gridCol w:w="1417"/>
        <w:gridCol w:w="3147"/>
        <w:gridCol w:w="1637"/>
      </w:tblGrid>
      <w:tr w:rsidR="0001455E" w:rsidTr="00BB73A7">
        <w:tc>
          <w:tcPr>
            <w:tcW w:w="675" w:type="dxa"/>
            <w:vMerge w:val="restart"/>
          </w:tcPr>
          <w:p w:rsidR="0001455E" w:rsidRDefault="0001455E" w:rsidP="00BB73A7">
            <w:pPr>
              <w:spacing w:line="240" w:lineRule="auto"/>
              <w:ind w:firstLineChars="0" w:firstLine="0"/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Selection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Comparability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Outcome</w:t>
            </w:r>
          </w:p>
        </w:tc>
        <w:tc>
          <w:tcPr>
            <w:tcW w:w="1637" w:type="dxa"/>
            <w:vMerge w:val="restart"/>
          </w:tcPr>
          <w:p w:rsidR="0001455E" w:rsidRPr="0060472D" w:rsidRDefault="0001455E" w:rsidP="00BB73A7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Score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vMerge/>
          </w:tcPr>
          <w:p w:rsidR="0001455E" w:rsidRDefault="0001455E" w:rsidP="00BB73A7">
            <w:pPr>
              <w:spacing w:line="240" w:lineRule="auto"/>
              <w:ind w:firstLineChars="0" w:firstLine="0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color w:val="333333"/>
                <w:sz w:val="15"/>
                <w:szCs w:val="15"/>
              </w:rPr>
              <w:t>Representativeness of the 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sz w:val="15"/>
                <w:szCs w:val="15"/>
              </w:rPr>
              <w:t xml:space="preserve"> e</w:t>
            </w:r>
            <w:r w:rsidRPr="0060472D">
              <w:rPr>
                <w:rFonts w:ascii="Times New Roman" w:eastAsia="宋体" w:hAnsi="Times New Roman" w:cs="Times New Roman"/>
                <w:b/>
                <w:color w:val="333333"/>
                <w:sz w:val="15"/>
                <w:szCs w:val="15"/>
              </w:rPr>
              <w:t>xposed cohort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Selection of the non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-</w:t>
            </w: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exposed cohort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Ascertainm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-</w:t>
            </w: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ent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of exposure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Demonstration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that outcome of interest was not present at start of study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Comparability of cohorts on the basis of the design or analysis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Assessment of outcome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Was follow-up long enough for outcomes to occur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1455E" w:rsidRPr="0060472D" w:rsidRDefault="0001455E" w:rsidP="00BB73A7">
            <w:pPr>
              <w:spacing w:line="240" w:lineRule="auto"/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Adequacy of follow up of cohorts</w:t>
            </w:r>
          </w:p>
        </w:tc>
        <w:tc>
          <w:tcPr>
            <w:tcW w:w="1637" w:type="dxa"/>
            <w:vMerge/>
          </w:tcPr>
          <w:p w:rsidR="0001455E" w:rsidRDefault="0001455E" w:rsidP="00BB73A7">
            <w:pPr>
              <w:spacing w:line="240" w:lineRule="auto"/>
              <w:ind w:firstLineChars="0" w:firstLine="0"/>
            </w:pP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vMerge/>
          </w:tcPr>
          <w:p w:rsidR="0001455E" w:rsidRDefault="0001455E" w:rsidP="00BB73A7">
            <w:pPr>
              <w:spacing w:line="240" w:lineRule="auto"/>
              <w:ind w:firstLineChars="0" w:firstLine="0"/>
            </w:pPr>
          </w:p>
        </w:tc>
        <w:tc>
          <w:tcPr>
            <w:tcW w:w="1985" w:type="dxa"/>
          </w:tcPr>
          <w:p w:rsidR="0001455E" w:rsidRPr="00AB4004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a.</w:t>
            </w: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AB4004">
              <w:rPr>
                <w:rFonts w:ascii="Times New Roman" w:eastAsia="宋体" w:hAnsi="Times New Roman" w:cs="Times New Roman"/>
                <w:sz w:val="15"/>
                <w:szCs w:val="15"/>
              </w:rPr>
              <w:t>truly representative of the average</w:t>
            </w:r>
            <w:r w:rsidRPr="00AB400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AB4004">
              <w:rPr>
                <w:rFonts w:ascii="Times New Roman" w:eastAsia="宋体" w:hAnsi="Times New Roman" w:cs="Times New Roman"/>
                <w:sz w:val="15"/>
                <w:szCs w:val="15"/>
              </w:rPr>
              <w:t>(describe) in the community</w:t>
            </w:r>
            <w:r w:rsidRPr="00AB400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b.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somewhat representative of the average</w:t>
            </w: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in the community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c</w:t>
            </w:r>
            <w:r w:rsidRPr="00C9180C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selected group of users eg nurses,volunteers</w:t>
            </w:r>
          </w:p>
          <w:p w:rsidR="0001455E" w:rsidRPr="00AB4004" w:rsidRDefault="0001455E" w:rsidP="00BB73A7">
            <w:pPr>
              <w:spacing w:line="240" w:lineRule="auto"/>
              <w:ind w:firstLineChars="0" w:firstLine="0"/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>d</w:t>
            </w:r>
            <w:r w:rsidRPr="00C9180C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no description of the derivation of the cohort</w:t>
            </w:r>
          </w:p>
        </w:tc>
        <w:tc>
          <w:tcPr>
            <w:tcW w:w="1417" w:type="dxa"/>
          </w:tcPr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 community controls  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drawn from a different source</w:t>
            </w:r>
          </w:p>
          <w:p w:rsidR="0001455E" w:rsidRDefault="0001455E" w:rsidP="00BB73A7">
            <w:pPr>
              <w:spacing w:line="240" w:lineRule="auto"/>
              <w:ind w:firstLineChars="0" w:firstLine="0"/>
            </w:pPr>
            <w:r w:rsidRPr="00C9180C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c</w:t>
            </w:r>
            <w:r w:rsidRPr="00C9180C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．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no description of the derivation of the non exposed cohort</w:t>
            </w:r>
          </w:p>
        </w:tc>
        <w:tc>
          <w:tcPr>
            <w:tcW w:w="993" w:type="dxa"/>
          </w:tcPr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secure record (eg surgical records)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structured interview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c.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written self report</w:t>
            </w:r>
          </w:p>
          <w:p w:rsidR="0001455E" w:rsidRDefault="0001455E" w:rsidP="00BB73A7">
            <w:pPr>
              <w:spacing w:line="240" w:lineRule="auto"/>
              <w:ind w:firstLineChars="0" w:firstLine="0"/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>d</w:t>
            </w: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no description</w:t>
            </w:r>
          </w:p>
        </w:tc>
        <w:tc>
          <w:tcPr>
            <w:tcW w:w="1984" w:type="dxa"/>
          </w:tcPr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</w:t>
            </w:r>
            <w:r w:rsidRPr="00C9180C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yes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(endpoint) 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</w:pPr>
            <w:r w:rsidRPr="00C9180C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1701" w:type="dxa"/>
          </w:tcPr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study controls for</w:t>
            </w: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(select the most important factor)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study controls for any additional factor (This criteria could be modified to indicate specific                   control for a second important factor.)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a.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independent blind assessment  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b.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record linkage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c.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self report</w:t>
            </w:r>
          </w:p>
          <w:p w:rsidR="0001455E" w:rsidRPr="00AB4004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d.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no description</w:t>
            </w:r>
          </w:p>
        </w:tc>
        <w:tc>
          <w:tcPr>
            <w:tcW w:w="1417" w:type="dxa"/>
          </w:tcPr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yes (select an adequate follow up period for outcome of interest)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</w:t>
            </w:r>
            <w:r w:rsidRPr="00CC7210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no</w:t>
            </w:r>
          </w:p>
        </w:tc>
        <w:tc>
          <w:tcPr>
            <w:tcW w:w="3147" w:type="dxa"/>
          </w:tcPr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a.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complete follow up - all subjects accounted for 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b.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subjects lost to follo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w up unlikely to introduce bias-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small number lost -&gt;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  <w:u w:val="single"/>
              </w:rPr>
              <w:t>80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% (select an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adequate %) follow up, or description provided of those lost) 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  <w:p w:rsidR="0001455E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c.</w:t>
            </w:r>
            <w:r w:rsidRPr="00EA7F5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follow up rate &lt;</w:t>
            </w:r>
            <w:r w:rsidRPr="00C9180C">
              <w:rPr>
                <w:rFonts w:ascii="Times New Roman" w:eastAsia="宋体" w:hAnsi="Times New Roman" w:cs="Times New Roman"/>
                <w:sz w:val="15"/>
                <w:szCs w:val="15"/>
                <w:u w:val="single"/>
              </w:rPr>
              <w:t>_80_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% (select an adequate %) and no description of those lost  </w:t>
            </w:r>
          </w:p>
          <w:p w:rsidR="0001455E" w:rsidRPr="00AB4004" w:rsidRDefault="0001455E" w:rsidP="00BB73A7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C7210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d</w:t>
            </w:r>
            <w:r w:rsidRPr="00CC7210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．</w:t>
            </w:r>
            <w:r w:rsidRPr="00EA7F5E">
              <w:rPr>
                <w:rFonts w:ascii="Times New Roman" w:eastAsia="宋体" w:hAnsi="Times New Roman" w:cs="Times New Roman"/>
                <w:sz w:val="15"/>
                <w:szCs w:val="15"/>
              </w:rPr>
              <w:t>no statement</w:t>
            </w:r>
          </w:p>
        </w:tc>
        <w:tc>
          <w:tcPr>
            <w:tcW w:w="1637" w:type="dxa"/>
            <w:vMerge/>
          </w:tcPr>
          <w:p w:rsidR="0001455E" w:rsidRDefault="0001455E" w:rsidP="00BB73A7">
            <w:pPr>
              <w:spacing w:line="240" w:lineRule="auto"/>
              <w:ind w:firstLineChars="0" w:firstLine="0"/>
            </w:pP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[25]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a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[18]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[19]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[26]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[23]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[17]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[24]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[4]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a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[22]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a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[15]</w:t>
            </w:r>
          </w:p>
        </w:tc>
        <w:tc>
          <w:tcPr>
            <w:tcW w:w="1985" w:type="dxa"/>
          </w:tcPr>
          <w:p w:rsidR="0001455E" w:rsidRPr="0060472D" w:rsidRDefault="0001455E" w:rsidP="00BB73A7">
            <w:pPr>
              <w:ind w:firstLineChars="0" w:firstLine="0"/>
            </w:pPr>
            <w:r w:rsidRPr="0060472D">
              <w:rPr>
                <w:rFonts w:hint="eastAsia"/>
              </w:rPr>
              <w:t>b</w:t>
            </w:r>
            <w:r w:rsidRPr="0060472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Pr="0060472D" w:rsidRDefault="0001455E" w:rsidP="00BB73A7">
            <w:pPr>
              <w:ind w:firstLineChars="0" w:firstLine="0"/>
            </w:pPr>
            <w:r w:rsidRPr="0060472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Pr="0060472D" w:rsidRDefault="0001455E" w:rsidP="00BB73A7">
            <w:pPr>
              <w:ind w:firstLineChars="0" w:firstLine="0"/>
            </w:pPr>
            <w:r w:rsidRPr="0060472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Pr="0060472D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Pr="0060472D" w:rsidRDefault="0001455E" w:rsidP="00BB73A7">
            <w:pPr>
              <w:ind w:firstLineChars="0" w:firstLine="0"/>
            </w:pPr>
            <w:r w:rsidRPr="0060472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Pr="0060472D" w:rsidRDefault="0001455E" w:rsidP="00BB73A7">
            <w:pPr>
              <w:ind w:firstLineChars="0" w:firstLine="0"/>
            </w:pPr>
            <w:r w:rsidRPr="0060472D">
              <w:rPr>
                <w:rFonts w:hint="eastAsia"/>
              </w:rPr>
              <w:t>b</w:t>
            </w:r>
            <w:r w:rsidRPr="0060472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Pr="0060472D" w:rsidRDefault="0001455E" w:rsidP="00BB73A7">
            <w:pPr>
              <w:ind w:firstLineChars="0" w:firstLine="0"/>
            </w:pPr>
            <w:r w:rsidRPr="0060472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Pr="0060472D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Pr="0060472D" w:rsidRDefault="0001455E" w:rsidP="00BB73A7">
            <w:pPr>
              <w:ind w:firstLineChars="0" w:firstLine="0"/>
            </w:pPr>
            <w:r w:rsidRPr="0060472D"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lastRenderedPageBreak/>
              <w:t>[8]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a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[16]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[12]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[13]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[5]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[21]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[14]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[20]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[11]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a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a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noProof/>
                <w:kern w:val="0"/>
                <w:sz w:val="15"/>
                <w:szCs w:val="15"/>
              </w:rPr>
              <w:t>[10]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  <w:tr w:rsidR="0001455E" w:rsidTr="00BB73A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</w:tcPr>
          <w:p w:rsidR="0001455E" w:rsidRPr="0060472D" w:rsidRDefault="0001455E" w:rsidP="00BB73A7">
            <w:pPr>
              <w:ind w:firstLineChars="0" w:firstLine="0"/>
              <w:rPr>
                <w:b/>
              </w:rPr>
            </w:pPr>
            <w:r w:rsidRPr="0060472D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[27]</w:t>
            </w:r>
          </w:p>
        </w:tc>
        <w:tc>
          <w:tcPr>
            <w:tcW w:w="1985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AB400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993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984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701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8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b</w:t>
            </w: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1417" w:type="dxa"/>
          </w:tcPr>
          <w:p w:rsidR="0001455E" w:rsidRDefault="0001455E" w:rsidP="00BB73A7">
            <w:pPr>
              <w:ind w:firstLineChars="0" w:firstLine="0"/>
            </w:pPr>
            <w:r w:rsidRPr="00EA7F5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☆</w:t>
            </w:r>
          </w:p>
        </w:tc>
        <w:tc>
          <w:tcPr>
            <w:tcW w:w="3147" w:type="dxa"/>
          </w:tcPr>
          <w:p w:rsidR="0001455E" w:rsidRDefault="0001455E" w:rsidP="00BB73A7">
            <w:pPr>
              <w:ind w:firstLineChars="0" w:firstLine="0"/>
            </w:pPr>
          </w:p>
        </w:tc>
        <w:tc>
          <w:tcPr>
            <w:tcW w:w="1637" w:type="dxa"/>
          </w:tcPr>
          <w:p w:rsidR="0001455E" w:rsidRDefault="0001455E" w:rsidP="00BB73A7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</w:tr>
    </w:tbl>
    <w:p w:rsidR="0001455E" w:rsidRPr="00EA7F5E" w:rsidRDefault="0001455E" w:rsidP="00EA7F5E">
      <w:pPr>
        <w:spacing w:line="240" w:lineRule="auto"/>
        <w:ind w:firstLineChars="0" w:firstLine="0"/>
        <w:rPr>
          <w:rFonts w:ascii="Times New Roman" w:eastAsia="宋体" w:hAnsi="Times New Roman" w:cs="Times New Roman"/>
          <w:b/>
          <w:szCs w:val="21"/>
        </w:rPr>
      </w:pPr>
    </w:p>
    <w:p w:rsidR="00EA7F5E" w:rsidRPr="00EA7F5E" w:rsidRDefault="00EA7F5E" w:rsidP="00EA7F5E">
      <w:pPr>
        <w:spacing w:line="240" w:lineRule="auto"/>
        <w:ind w:firstLineChars="0" w:firstLine="0"/>
        <w:rPr>
          <w:rFonts w:ascii="Times New Roman" w:eastAsia="宋体" w:hAnsi="Times New Roman" w:cs="Times New Roman"/>
          <w:szCs w:val="21"/>
        </w:rPr>
      </w:pPr>
      <w:r w:rsidRPr="00EA7F5E">
        <w:rPr>
          <w:rFonts w:ascii="Times New Roman" w:eastAsia="宋体" w:hAnsi="Times New Roman" w:cs="Times New Roman"/>
          <w:szCs w:val="21"/>
        </w:rPr>
        <w:t>Note: A study can be awarded a maximum of one star for each numbered item within the Selection and Outcome categories. A maximum of two stars can be given for Comparability</w:t>
      </w:r>
    </w:p>
    <w:p w:rsidR="00EA7F5E" w:rsidRDefault="00EA7F5E" w:rsidP="00EA7F5E">
      <w:pPr>
        <w:ind w:firstLineChars="0" w:firstLine="0"/>
      </w:pPr>
    </w:p>
    <w:sectPr w:rsidR="00EA7F5E" w:rsidSect="00EA7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40" w:right="340" w:bottom="34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C4" w:rsidRDefault="00D022C4" w:rsidP="0001455E">
      <w:pPr>
        <w:spacing w:line="240" w:lineRule="auto"/>
        <w:ind w:firstLine="420"/>
      </w:pPr>
      <w:r>
        <w:separator/>
      </w:r>
    </w:p>
  </w:endnote>
  <w:endnote w:type="continuationSeparator" w:id="1">
    <w:p w:rsidR="00D022C4" w:rsidRDefault="00D022C4" w:rsidP="0001455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5E" w:rsidRDefault="0001455E" w:rsidP="0001455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5E" w:rsidRDefault="0001455E" w:rsidP="0001455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5E" w:rsidRDefault="0001455E" w:rsidP="0001455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C4" w:rsidRDefault="00D022C4" w:rsidP="0001455E">
      <w:pPr>
        <w:spacing w:line="240" w:lineRule="auto"/>
        <w:ind w:firstLine="420"/>
      </w:pPr>
      <w:r>
        <w:separator/>
      </w:r>
    </w:p>
  </w:footnote>
  <w:footnote w:type="continuationSeparator" w:id="1">
    <w:p w:rsidR="00D022C4" w:rsidRDefault="00D022C4" w:rsidP="0001455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5E" w:rsidRDefault="0001455E" w:rsidP="0001455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5E" w:rsidRDefault="0001455E" w:rsidP="0001455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5E" w:rsidRDefault="0001455E" w:rsidP="0001455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F5E"/>
    <w:rsid w:val="0001455E"/>
    <w:rsid w:val="00156FAF"/>
    <w:rsid w:val="0019344A"/>
    <w:rsid w:val="001D0DE2"/>
    <w:rsid w:val="001D7259"/>
    <w:rsid w:val="00315F37"/>
    <w:rsid w:val="005D4997"/>
    <w:rsid w:val="0060765A"/>
    <w:rsid w:val="00645E0F"/>
    <w:rsid w:val="00756048"/>
    <w:rsid w:val="00793FF2"/>
    <w:rsid w:val="00941DC2"/>
    <w:rsid w:val="009655A6"/>
    <w:rsid w:val="009F4309"/>
    <w:rsid w:val="00A55B16"/>
    <w:rsid w:val="00C37707"/>
    <w:rsid w:val="00D022C4"/>
    <w:rsid w:val="00D54C91"/>
    <w:rsid w:val="00D9446D"/>
    <w:rsid w:val="00E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55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55E"/>
    <w:rPr>
      <w:sz w:val="18"/>
      <w:szCs w:val="18"/>
    </w:rPr>
  </w:style>
  <w:style w:type="table" w:styleId="a5">
    <w:name w:val="Table Grid"/>
    <w:basedOn w:val="a1"/>
    <w:uiPriority w:val="59"/>
    <w:rsid w:val="000145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Tumor Hospital of Xinjiang Medical University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Zhenqiang Sun</cp:lastModifiedBy>
  <cp:revision>2</cp:revision>
  <dcterms:created xsi:type="dcterms:W3CDTF">2015-07-25T17:44:00Z</dcterms:created>
  <dcterms:modified xsi:type="dcterms:W3CDTF">2015-07-25T17:44:00Z</dcterms:modified>
</cp:coreProperties>
</file>