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A6558" w:rsidR="00C864B4" w:rsidP="00170674" w:rsidRDefault="00EB0E26" w14:paraId="0C9CA054" w14:textId="34F17E81">
      <w:pPr>
        <w:jc w:val="both"/>
        <w:rPr>
          <w:rFonts w:ascii="Arial" w:hAnsi="Arial" w:cs="Arial"/>
        </w:rPr>
      </w:pPr>
      <w:r w:rsidRPr="34F17E81" w:rsidR="34F17E81">
        <w:rPr>
          <w:rFonts w:ascii="Arial" w:hAnsi="Arial" w:eastAsia="Arial" w:cs="Arial"/>
          <w:b w:val="1"/>
          <w:bCs w:val="1"/>
        </w:rPr>
        <w:t>S</w:t>
      </w:r>
      <w:r w:rsidRPr="34F17E81" w:rsidR="34F17E81">
        <w:rPr>
          <w:rFonts w:ascii="Arial" w:hAnsi="Arial" w:eastAsia="Arial" w:cs="Arial"/>
          <w:b w:val="1"/>
          <w:bCs w:val="1"/>
        </w:rPr>
        <w:t xml:space="preserve">1 </w:t>
      </w:r>
      <w:r w:rsidRPr="34F17E81" w:rsidR="34F17E81">
        <w:rPr>
          <w:rFonts w:ascii="Arial" w:hAnsi="Arial" w:eastAsia="Arial" w:cs="Arial"/>
          <w:b w:val="1"/>
          <w:bCs w:val="1"/>
        </w:rPr>
        <w:t>.</w:t>
      </w:r>
      <w:r w:rsidRPr="34F17E81" w:rsidR="34F17E81">
        <w:rPr>
          <w:rFonts w:ascii="Arial" w:hAnsi="Arial" w:eastAsia="Arial" w:cs="Arial"/>
        </w:rPr>
        <w:t xml:space="preserve">  Summary of pancreas biopsies from living patients and cadaveric organs</w:t>
      </w:r>
    </w:p>
    <w:tbl>
      <w:tblPr>
        <w:tblpPr w:leftFromText="180" w:rightFromText="180" w:vertAnchor="page" w:horzAnchor="page" w:tblpX="1909" w:tblpY="2161"/>
        <w:tblW w:w="6619" w:type="dxa"/>
        <w:tblLayout w:type="fixed"/>
        <w:tblLook w:val="04A0" w:firstRow="1" w:lastRow="0" w:firstColumn="1" w:lastColumn="0" w:noHBand="0" w:noVBand="1"/>
      </w:tblPr>
      <w:tblGrid>
        <w:gridCol w:w="1284"/>
        <w:gridCol w:w="840"/>
        <w:gridCol w:w="960"/>
        <w:gridCol w:w="644"/>
        <w:gridCol w:w="1330"/>
        <w:gridCol w:w="1561"/>
      </w:tblGrid>
      <w:tr w:rsidRPr="001265EA" w:rsidR="00D116C7" w:rsidTr="00D116C7" w14:paraId="1834A334" w14:textId="77777777">
        <w:trPr>
          <w:trHeight w:val="300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13581CE5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36593E74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18BDCA0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43FB1E05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13BB6C41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% NGN3</w:t>
            </w:r>
          </w:p>
        </w:tc>
      </w:tr>
      <w:tr w:rsidRPr="001265EA" w:rsidR="00D116C7" w:rsidTr="00D116C7" w14:paraId="1FD07497" w14:textId="77777777">
        <w:trPr>
          <w:trHeight w:val="300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3665AE1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75D4D55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010A3A4A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006AD2C6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1D2497A7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265EA">
              <w:rPr>
                <w:rFonts w:ascii="Arial" w:hAnsi="Arial" w:eastAsia="Times New Roman" w:cs="Arial"/>
                <w:color w:val="000000"/>
              </w:rPr>
              <w:t>F25</w:t>
            </w:r>
            <w:r>
              <w:rPr>
                <w:rFonts w:ascii="Arial" w:hAnsi="Arial" w:eastAsia="Times New Roman" w:cs="Arial"/>
                <w:color w:val="000000"/>
              </w:rPr>
              <w:t>A1B3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65EA" w:rsidR="00D116C7" w:rsidP="00D116C7" w:rsidRDefault="00D116C7" w14:paraId="1FDA969B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8034DD">
              <w:rPr>
                <w:rFonts w:ascii="Arial" w:hAnsi="Arial" w:cs="Arial"/>
              </w:rPr>
              <w:t>HPA039785</w:t>
            </w:r>
          </w:p>
        </w:tc>
      </w:tr>
      <w:tr w:rsidRPr="001265EA" w:rsidR="00D116C7" w:rsidTr="00D116C7" w14:paraId="47A11F4E" w14:textId="77777777">
        <w:trPr>
          <w:trHeight w:val="900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1B159080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Type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25552CD8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27060" w:rsidR="00D116C7" w:rsidP="00D116C7" w:rsidRDefault="00D116C7" w14:paraId="4FA62E5A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Time to biopsy (min)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27060" w:rsidR="00D116C7" w:rsidP="00D116C7" w:rsidRDefault="00D116C7" w14:paraId="354D06A7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Age (</w:t>
            </w:r>
            <w:proofErr w:type="spellStart"/>
            <w:r w:rsidRPr="00527060">
              <w:rPr>
                <w:rFonts w:ascii="Arial" w:hAnsi="Arial" w:eastAsia="Times New Roman" w:cs="Arial"/>
                <w:color w:val="000000"/>
              </w:rPr>
              <w:t>yr</w:t>
            </w:r>
            <w:proofErr w:type="spellEnd"/>
            <w:r w:rsidRPr="00527060">
              <w:rPr>
                <w:rFonts w:ascii="Arial" w:hAnsi="Arial" w:eastAsia="Times New Roman" w:cs="Arial"/>
                <w:color w:val="000000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7050FA1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Mean ± SE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83580F5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Mean ± SE</w:t>
            </w:r>
          </w:p>
        </w:tc>
      </w:tr>
      <w:tr w:rsidRPr="001265EA" w:rsidR="00D116C7" w:rsidTr="00D116C7" w14:paraId="092A954A" w14:textId="77777777">
        <w:trPr>
          <w:trHeight w:val="30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B3AC72F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Living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8F8135D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100BC6F5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2EDC5542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55BF9DEA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1.0 ± 0.1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331A0B27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</w:tr>
      <w:tr w:rsidRPr="001265EA" w:rsidR="00D116C7" w:rsidTr="00D116C7" w14:paraId="1D686306" w14:textId="77777777">
        <w:trPr>
          <w:trHeight w:val="30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1ADDB40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Living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5C0F5E6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16A6559E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62F58CE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16E9879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2.2 ± 0.1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ADC384A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</w:tr>
      <w:tr w:rsidRPr="001265EA" w:rsidR="00D116C7" w:rsidTr="00D116C7" w14:paraId="53632F91" w14:textId="77777777">
        <w:trPr>
          <w:trHeight w:val="30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8ABA5A3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Living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BFE2A7D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0B0FA2A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07A07BC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4876F0B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0.3 ± 0.0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3ABBD83B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</w:tr>
      <w:tr w:rsidRPr="001265EA" w:rsidR="00D116C7" w:rsidTr="00D116C7" w14:paraId="44F3E7C3" w14:textId="77777777">
        <w:trPr>
          <w:trHeight w:val="30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527060" w:rsidR="00D116C7" w:rsidP="00D116C7" w:rsidRDefault="00D116C7" w14:paraId="1F24A93E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Living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5C7D61A6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51180B00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226AD5D8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79A86F3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6.5 ± 0.6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E37FD0D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</w:tr>
      <w:tr w:rsidRPr="001265EA" w:rsidR="00D116C7" w:rsidTr="00D116C7" w14:paraId="7D10D4D9" w14:textId="77777777">
        <w:trPr>
          <w:trHeight w:val="30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527060" w:rsidR="00D116C7" w:rsidP="00D116C7" w:rsidRDefault="00D116C7" w14:paraId="5C0F1069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Living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8F56D8D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A789929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F9872B1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2674BE01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2.2 ± 0.2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7A9EDB3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ND</w:t>
            </w:r>
          </w:p>
        </w:tc>
      </w:tr>
      <w:tr w:rsidRPr="001265EA" w:rsidR="00D116C7" w:rsidTr="00D116C7" w14:paraId="69B4D2CF" w14:textId="77777777">
        <w:trPr>
          <w:trHeight w:val="32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9C28D75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 xml:space="preserve">Cadaver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7B98877" w14:textId="77777777">
            <w:pPr>
              <w:jc w:val="center"/>
              <w:rPr>
                <w:rFonts w:ascii="Arial" w:hAnsi="Arial" w:eastAsia="Times New Roman" w:cs="Arial"/>
                <w:color w:val="222222"/>
              </w:rPr>
            </w:pPr>
            <w:r w:rsidRPr="00527060">
              <w:rPr>
                <w:rFonts w:ascii="Arial" w:hAnsi="Arial" w:eastAsia="Times New Roman" w:cs="Arial"/>
                <w:color w:val="222222"/>
              </w:rPr>
              <w:t>H460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3B4F13A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339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F974084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893114B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11.1 ± 1.1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D0B687F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12 ± 0.9</w:t>
            </w:r>
          </w:p>
        </w:tc>
      </w:tr>
      <w:tr w:rsidRPr="001265EA" w:rsidR="00D116C7" w:rsidTr="00D116C7" w14:paraId="19956802" w14:textId="77777777">
        <w:trPr>
          <w:trHeight w:val="32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59084702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 xml:space="preserve">Cadaver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2D990293" w14:textId="77777777">
            <w:pPr>
              <w:jc w:val="center"/>
              <w:rPr>
                <w:rFonts w:ascii="Arial" w:hAnsi="Arial" w:eastAsia="Times New Roman" w:cs="Arial"/>
                <w:color w:val="222222"/>
              </w:rPr>
            </w:pPr>
            <w:r w:rsidRPr="00527060">
              <w:rPr>
                <w:rFonts w:ascii="Arial" w:hAnsi="Arial" w:eastAsia="Times New Roman" w:cs="Arial"/>
                <w:color w:val="222222"/>
              </w:rPr>
              <w:t>H461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2049BFD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677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5E129E6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A115977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11.6 ± 1.4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56A1D5D6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11.0 ± 1.0</w:t>
            </w:r>
          </w:p>
        </w:tc>
      </w:tr>
      <w:tr w:rsidRPr="001265EA" w:rsidR="00D116C7" w:rsidTr="00D116C7" w14:paraId="7DBAAA7B" w14:textId="77777777">
        <w:trPr>
          <w:trHeight w:val="320"/>
        </w:trPr>
        <w:tc>
          <w:tcPr>
            <w:tcW w:w="1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13C3D278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 xml:space="preserve">Cadaver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5A6E12D8" w14:textId="77777777">
            <w:pPr>
              <w:jc w:val="center"/>
              <w:rPr>
                <w:rFonts w:ascii="Arial" w:hAnsi="Arial" w:eastAsia="Times New Roman" w:cs="Arial"/>
                <w:color w:val="222222"/>
              </w:rPr>
            </w:pPr>
            <w:r w:rsidRPr="00527060">
              <w:rPr>
                <w:rFonts w:ascii="Arial" w:hAnsi="Arial" w:eastAsia="Times New Roman" w:cs="Arial"/>
                <w:color w:val="222222"/>
              </w:rPr>
              <w:t>H462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BD5CCB9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230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641BB065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154AEEB5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9.5 ± </w:t>
            </w:r>
            <w:r w:rsidRPr="00527060">
              <w:rPr>
                <w:rFonts w:ascii="Arial" w:hAnsi="Arial" w:eastAsia="Times New Roman" w:cs="Arial"/>
                <w:color w:val="000000"/>
              </w:rPr>
              <w:t>0.6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6B44B53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9.6 ± 0.6</w:t>
            </w:r>
          </w:p>
        </w:tc>
      </w:tr>
      <w:tr w:rsidRPr="001265EA" w:rsidR="00D116C7" w:rsidTr="00D116C7" w14:paraId="2EA6118C" w14:textId="77777777">
        <w:trPr>
          <w:trHeight w:val="320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D2B3048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 xml:space="preserve">Cadaver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CE8473E" w14:textId="77777777">
            <w:pPr>
              <w:jc w:val="center"/>
              <w:rPr>
                <w:rFonts w:ascii="Arial" w:hAnsi="Arial" w:eastAsia="Times New Roman" w:cs="Arial"/>
                <w:color w:val="222222"/>
              </w:rPr>
            </w:pPr>
            <w:r w:rsidRPr="00527060">
              <w:rPr>
                <w:rFonts w:ascii="Arial" w:hAnsi="Arial" w:eastAsia="Times New Roman" w:cs="Arial"/>
                <w:color w:val="222222"/>
              </w:rPr>
              <w:t>H465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760216EC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483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936503F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43B16C1C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8.6 ± 0.8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27060" w:rsidR="00D116C7" w:rsidP="00D116C7" w:rsidRDefault="00D116C7" w14:paraId="088D453E" w14:textId="77777777">
            <w:pPr>
              <w:jc w:val="center"/>
              <w:rPr>
                <w:rFonts w:ascii="Arial" w:hAnsi="Arial" w:eastAsia="Times New Roman" w:cs="Arial"/>
                <w:color w:val="000000"/>
              </w:rPr>
            </w:pPr>
            <w:r w:rsidRPr="00527060">
              <w:rPr>
                <w:rFonts w:ascii="Arial" w:hAnsi="Arial" w:eastAsia="Times New Roman" w:cs="Arial"/>
                <w:color w:val="000000"/>
              </w:rPr>
              <w:t>11.7 ± 1.3</w:t>
            </w:r>
          </w:p>
        </w:tc>
      </w:tr>
    </w:tbl>
    <w:p w:rsidR="00823704" w:rsidP="00C864B4" w:rsidRDefault="00823704" w14:paraId="20AAFD7A" w14:textId="77777777"/>
    <w:p w:rsidR="008C67A3" w:rsidP="00C864B4" w:rsidRDefault="008C67A3" w14:paraId="610F1E1E" w14:textId="77777777"/>
    <w:p w:rsidR="008C67A3" w:rsidP="00C864B4" w:rsidRDefault="008C67A3" w14:paraId="1C03464F" w14:textId="77777777"/>
    <w:p w:rsidR="008C67A3" w:rsidP="00C864B4" w:rsidRDefault="008C67A3" w14:paraId="44ACFD45" w14:textId="77777777"/>
    <w:p w:rsidR="008C67A3" w:rsidP="00C864B4" w:rsidRDefault="008C67A3" w14:paraId="3B7D1F3A" w14:textId="77777777"/>
    <w:p w:rsidR="008C67A3" w:rsidP="00C864B4" w:rsidRDefault="008C67A3" w14:paraId="4A23C1C5" w14:textId="77777777"/>
    <w:p w:rsidR="008C67A3" w:rsidP="00C864B4" w:rsidRDefault="008C67A3" w14:paraId="58CD8A44" w14:textId="77777777"/>
    <w:p w:rsidR="008C67A3" w:rsidP="00C864B4" w:rsidRDefault="008C67A3" w14:paraId="603E3B87" w14:textId="77777777"/>
    <w:p w:rsidR="008C67A3" w:rsidP="00C864B4" w:rsidRDefault="008C67A3" w14:paraId="4E7E884D" w14:textId="77777777"/>
    <w:p w:rsidR="008C67A3" w:rsidP="00C864B4" w:rsidRDefault="008C67A3" w14:paraId="673FDF24" w14:textId="77777777"/>
    <w:p w:rsidR="008C67A3" w:rsidP="00C864B4" w:rsidRDefault="008C67A3" w14:paraId="18605ADF" w14:textId="77777777"/>
    <w:p w:rsidR="008C67A3" w:rsidP="00C864B4" w:rsidRDefault="008C67A3" w14:paraId="438ADAFA" w14:textId="77777777"/>
    <w:p w:rsidR="008C67A3" w:rsidP="00C864B4" w:rsidRDefault="008C67A3" w14:paraId="40FF8AFA" w14:textId="77777777"/>
    <w:p w:rsidR="008C67A3" w:rsidP="00C864B4" w:rsidRDefault="008C67A3" w14:paraId="268370B7" w14:textId="77777777"/>
    <w:p w:rsidR="008C67A3" w:rsidP="00C864B4" w:rsidRDefault="008C67A3" w14:paraId="1B87D26E" w14:textId="77777777"/>
    <w:p w:rsidR="008C67A3" w:rsidP="00C864B4" w:rsidRDefault="008C67A3" w14:paraId="44A09768" w14:textId="77777777"/>
    <w:p w:rsidR="008C67A3" w:rsidP="00C864B4" w:rsidRDefault="008C67A3" w14:paraId="5FDD5BA1" w14:textId="77777777"/>
    <w:p w:rsidR="0011426B" w:rsidP="008C67A3" w:rsidRDefault="0011426B" w14:paraId="753EAF25" w14:textId="77777777">
      <w:pPr>
        <w:spacing w:line="276" w:lineRule="auto"/>
        <w:jc w:val="both"/>
      </w:pPr>
    </w:p>
    <w:p w:rsidR="00EB0E26" w:rsidP="008C67A3" w:rsidRDefault="00EB0E26" w14:paraId="5B596AB3" w14:textId="77777777">
      <w:pPr>
        <w:spacing w:line="276" w:lineRule="auto"/>
        <w:jc w:val="both"/>
        <w:rPr>
          <w:rFonts w:ascii="Arial" w:hAnsi="Arial" w:cs="Arial"/>
          <w:b/>
        </w:rPr>
      </w:pPr>
    </w:p>
    <w:p w:rsidRPr="005F4A9C" w:rsidR="008C67A3" w:rsidP="008C67A3" w:rsidRDefault="008C67A3" w14:paraId="59032C44" w14:textId="46A9D7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Living biopsies were from histologically normal regions of pancreata with some underlying pathology except case 159, which was taken due to splenic invagination.   </w:t>
      </w:r>
      <w:proofErr w:type="gramStart"/>
      <w:r>
        <w:rPr>
          <w:rFonts w:ascii="Arial" w:hAnsi="Arial" w:cs="Arial"/>
        </w:rPr>
        <w:t>Type, Biopsy from living patient or cadaver.</w:t>
      </w:r>
      <w:proofErr w:type="gramEnd"/>
      <w:r>
        <w:rPr>
          <w:rFonts w:ascii="Arial" w:hAnsi="Arial" w:cs="Arial"/>
        </w:rPr>
        <w:t xml:space="preserve"> ID, Sample reference ID, Time to biopsy, Time in minutes from organ removal to biopsy. </w:t>
      </w:r>
      <w:proofErr w:type="gramStart"/>
      <w:r>
        <w:rPr>
          <w:rFonts w:ascii="Arial" w:hAnsi="Arial" w:cs="Arial"/>
        </w:rPr>
        <w:t>Age, Age in years of patient.</w:t>
      </w:r>
      <w:proofErr w:type="gramEnd"/>
      <w:r>
        <w:rPr>
          <w:rFonts w:ascii="Arial" w:hAnsi="Arial" w:cs="Arial"/>
        </w:rPr>
        <w:t xml:space="preserve"> %NGN3, Mean </w:t>
      </w:r>
      <w:r w:rsidRPr="00527060">
        <w:rPr>
          <w:rFonts w:ascii="Arial" w:hAnsi="Arial" w:eastAsia="Times New Roman" w:cs="Arial"/>
          <w:color w:val="000000"/>
        </w:rPr>
        <w:t>± SE</w:t>
      </w:r>
      <w:r>
        <w:rPr>
          <w:rFonts w:ascii="Arial" w:hAnsi="Arial" w:eastAsia="Times New Roman" w:cs="Arial"/>
          <w:color w:val="000000"/>
        </w:rPr>
        <w:t>M (n=10 fields/biopsy)</w:t>
      </w:r>
      <w:r>
        <w:rPr>
          <w:rFonts w:ascii="Arial" w:hAnsi="Arial" w:cs="Arial"/>
        </w:rPr>
        <w:t xml:space="preserve"> percentage of NGN3+ nuclei in each biopsy stained with anti-mouse NGN3 (</w:t>
      </w:r>
      <w:r w:rsidRPr="001265EA">
        <w:rPr>
          <w:rFonts w:ascii="Arial" w:hAnsi="Arial" w:eastAsia="Times New Roman" w:cs="Arial"/>
          <w:color w:val="000000"/>
        </w:rPr>
        <w:t>F25</w:t>
      </w:r>
      <w:r>
        <w:rPr>
          <w:rFonts w:ascii="Arial" w:hAnsi="Arial" w:eastAsia="Times New Roman" w:cs="Arial"/>
          <w:color w:val="000000"/>
        </w:rPr>
        <w:t>A1B3) and anti-human NGN3 (</w:t>
      </w:r>
      <w:r w:rsidRPr="008034DD">
        <w:rPr>
          <w:rFonts w:ascii="Arial" w:hAnsi="Arial" w:cs="Arial"/>
        </w:rPr>
        <w:t>HPA039785</w:t>
      </w:r>
      <w:r>
        <w:rPr>
          <w:rFonts w:ascii="Arial" w:hAnsi="Arial" w:cs="Arial"/>
        </w:rPr>
        <w:t xml:space="preserve">) antibodies.  </w:t>
      </w:r>
      <w:proofErr w:type="gramStart"/>
      <w:r>
        <w:rPr>
          <w:rFonts w:ascii="Arial" w:hAnsi="Arial" w:cs="Arial"/>
        </w:rPr>
        <w:t>ND, Not determined.</w:t>
      </w:r>
      <w:proofErr w:type="gramEnd"/>
    </w:p>
    <w:p w:rsidR="008C67A3" w:rsidP="00C864B4" w:rsidRDefault="008C67A3" w14:paraId="0ABC6BE6" w14:textId="77777777">
      <w:bookmarkStart w:name="_GoBack" w:id="0"/>
      <w:bookmarkEnd w:id="0"/>
    </w:p>
    <w:sectPr w:rsidR="008C67A3" w:rsidSect="00D75056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EA"/>
    <w:rsid w:val="0011426B"/>
    <w:rsid w:val="001265EA"/>
    <w:rsid w:val="00170674"/>
    <w:rsid w:val="001B7125"/>
    <w:rsid w:val="003D7574"/>
    <w:rsid w:val="00527060"/>
    <w:rsid w:val="006D6DE2"/>
    <w:rsid w:val="00823704"/>
    <w:rsid w:val="008C67A3"/>
    <w:rsid w:val="008D5B30"/>
    <w:rsid w:val="00A37DAF"/>
    <w:rsid w:val="00C864B4"/>
    <w:rsid w:val="00D116C7"/>
    <w:rsid w:val="00D75056"/>
    <w:rsid w:val="00EB0E26"/>
    <w:rsid w:val="34F17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4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E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6D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mjs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Shamblott</dc:creator>
  <keywords/>
  <dc:description/>
  <lastModifiedBy>Marci O'Driscoll</lastModifiedBy>
  <revision>14</revision>
  <dcterms:created xsi:type="dcterms:W3CDTF">2014-11-12T23:54:00.0000000Z</dcterms:created>
  <dcterms:modified xsi:type="dcterms:W3CDTF">2015-07-11T19:55:57.4387837Z</dcterms:modified>
</coreProperties>
</file>