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5B" w:rsidRDefault="00442D5B" w:rsidP="00442D5B"/>
    <w:p w:rsidR="00442D5B" w:rsidRPr="00A90784" w:rsidRDefault="00CC04FB" w:rsidP="00442D5B">
      <w:pPr>
        <w:rPr>
          <w:rFonts w:eastAsia="Times New Roman" w:cs="Times New Roman"/>
        </w:rPr>
      </w:pPr>
      <w:r>
        <w:rPr>
          <w:b/>
        </w:rPr>
        <w:t>S9</w:t>
      </w:r>
      <w:bookmarkStart w:id="0" w:name="_GoBack"/>
      <w:bookmarkEnd w:id="0"/>
      <w:r w:rsidR="00442D5B" w:rsidRPr="006952D3">
        <w:rPr>
          <w:b/>
        </w:rPr>
        <w:t>.</w:t>
      </w:r>
      <w:r w:rsidR="00442D5B">
        <w:t xml:space="preserve"> </w:t>
      </w:r>
      <w:r w:rsidR="00442D5B" w:rsidRPr="00442D5B">
        <w:rPr>
          <w:rFonts w:eastAsia="Arial"/>
          <w:b/>
        </w:rPr>
        <w:t>Differences-in-differences model results for wealth, food security and health outcomes using a sample of households that directly intersect the CBNRM village census tracts (</w:t>
      </w:r>
      <w:proofErr w:type="spellStart"/>
      <w:r w:rsidR="00442D5B" w:rsidRPr="00442D5B">
        <w:rPr>
          <w:rFonts w:eastAsia="Arial"/>
          <w:b/>
        </w:rPr>
        <w:t>ie</w:t>
      </w:r>
      <w:proofErr w:type="spellEnd"/>
      <w:r w:rsidR="00442D5B" w:rsidRPr="00442D5B">
        <w:rPr>
          <w:rFonts w:eastAsia="Arial"/>
          <w:b/>
        </w:rPr>
        <w:t xml:space="preserve"> no 5km buffer)</w:t>
      </w:r>
    </w:p>
    <w:tbl>
      <w:tblPr>
        <w:tblW w:w="9320" w:type="dxa"/>
        <w:tblLook w:val="04A0" w:firstRow="1" w:lastRow="0" w:firstColumn="1" w:lastColumn="0" w:noHBand="0" w:noVBand="1"/>
      </w:tblPr>
      <w:tblGrid>
        <w:gridCol w:w="2640"/>
        <w:gridCol w:w="1134"/>
        <w:gridCol w:w="1133"/>
        <w:gridCol w:w="1133"/>
        <w:gridCol w:w="1108"/>
        <w:gridCol w:w="1107"/>
        <w:gridCol w:w="1065"/>
      </w:tblGrid>
      <w:tr w:rsidR="00442D5B" w:rsidRPr="001B20D0" w:rsidTr="004719C4">
        <w:trPr>
          <w:trHeight w:val="255"/>
        </w:trPr>
        <w:tc>
          <w:tcPr>
            <w:tcW w:w="2640"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rPr>
                <w:rFonts w:eastAsia="Times New Roman" w:cs="Times New Roman"/>
                <w:kern w:val="0"/>
                <w:sz w:val="20"/>
                <w:szCs w:val="20"/>
                <w:lang w:eastAsia="en-US" w:bidi="ar-SA"/>
              </w:rPr>
            </w:pPr>
          </w:p>
        </w:tc>
        <w:tc>
          <w:tcPr>
            <w:tcW w:w="3400" w:type="dxa"/>
            <w:gridSpan w:val="3"/>
            <w:tcBorders>
              <w:top w:val="single" w:sz="4" w:space="0" w:color="auto"/>
              <w:left w:val="nil"/>
              <w:bottom w:val="single" w:sz="4" w:space="0" w:color="auto"/>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 KM distance</w:t>
            </w:r>
          </w:p>
        </w:tc>
        <w:tc>
          <w:tcPr>
            <w:tcW w:w="3280" w:type="dxa"/>
            <w:gridSpan w:val="3"/>
            <w:tcBorders>
              <w:top w:val="single" w:sz="4" w:space="0" w:color="auto"/>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5 KM distance</w:t>
            </w:r>
          </w:p>
        </w:tc>
      </w:tr>
      <w:tr w:rsidR="00442D5B" w:rsidRPr="001B20D0" w:rsidTr="004719C4">
        <w:trPr>
          <w:trHeight w:val="255"/>
        </w:trPr>
        <w:tc>
          <w:tcPr>
            <w:tcW w:w="2640"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p>
        </w:tc>
        <w:tc>
          <w:tcPr>
            <w:tcW w:w="1134" w:type="dxa"/>
            <w:tcBorders>
              <w:top w:val="nil"/>
              <w:left w:val="nil"/>
              <w:bottom w:val="single" w:sz="4" w:space="0" w:color="auto"/>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JFM</w:t>
            </w:r>
          </w:p>
        </w:tc>
        <w:tc>
          <w:tcPr>
            <w:tcW w:w="1133" w:type="dxa"/>
            <w:tcBorders>
              <w:top w:val="nil"/>
              <w:left w:val="nil"/>
              <w:bottom w:val="single" w:sz="4" w:space="0" w:color="auto"/>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CBFM</w:t>
            </w:r>
          </w:p>
        </w:tc>
        <w:tc>
          <w:tcPr>
            <w:tcW w:w="1133" w:type="dxa"/>
            <w:tcBorders>
              <w:top w:val="nil"/>
              <w:left w:val="nil"/>
              <w:bottom w:val="single" w:sz="4" w:space="0" w:color="auto"/>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WMA</w:t>
            </w:r>
          </w:p>
        </w:tc>
        <w:tc>
          <w:tcPr>
            <w:tcW w:w="1108"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JFM</w:t>
            </w:r>
          </w:p>
        </w:tc>
        <w:tc>
          <w:tcPr>
            <w:tcW w:w="1107"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CBFM</w:t>
            </w:r>
          </w:p>
        </w:tc>
        <w:tc>
          <w:tcPr>
            <w:tcW w:w="1065"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WMA</w:t>
            </w:r>
          </w:p>
        </w:tc>
      </w:tr>
      <w:tr w:rsidR="00442D5B" w:rsidRPr="001B20D0" w:rsidTr="004719C4">
        <w:trPr>
          <w:trHeight w:val="255"/>
        </w:trPr>
        <w:tc>
          <w:tcPr>
            <w:tcW w:w="2640" w:type="dxa"/>
            <w:vMerge w:val="restart"/>
            <w:tcBorders>
              <w:top w:val="single" w:sz="4" w:space="0" w:color="auto"/>
              <w:left w:val="nil"/>
              <w:bottom w:val="nil"/>
              <w:right w:val="nil"/>
            </w:tcBorders>
            <w:shd w:val="clear" w:color="auto" w:fill="auto"/>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Wealth index</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0.0131</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-0.214***</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-0.179**</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0.0675</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-0.0624**</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-0.0278</w:t>
            </w:r>
          </w:p>
        </w:tc>
      </w:tr>
      <w:tr w:rsidR="00442D5B" w:rsidRPr="001B20D0" w:rsidTr="004719C4">
        <w:trPr>
          <w:trHeight w:val="255"/>
        </w:trPr>
        <w:tc>
          <w:tcPr>
            <w:tcW w:w="2640" w:type="dxa"/>
            <w:vMerge/>
            <w:tcBorders>
              <w:top w:val="single" w:sz="4" w:space="0" w:color="auto"/>
              <w:left w:val="nil"/>
              <w:bottom w:val="nil"/>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(0.0564)</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(0.0507)</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(0.0718)</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(0.0481)</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(0.0294)</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(0.0702)</w:t>
            </w:r>
          </w:p>
        </w:tc>
      </w:tr>
      <w:tr w:rsidR="00442D5B" w:rsidRPr="001B20D0" w:rsidTr="004719C4">
        <w:trPr>
          <w:trHeight w:val="255"/>
        </w:trPr>
        <w:tc>
          <w:tcPr>
            <w:tcW w:w="2640" w:type="dxa"/>
            <w:vMerge w:val="restart"/>
            <w:tcBorders>
              <w:top w:val="nil"/>
              <w:left w:val="nil"/>
              <w:bottom w:val="nil"/>
              <w:right w:val="nil"/>
            </w:tcBorders>
            <w:shd w:val="clear" w:color="auto" w:fill="auto"/>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Meals/day</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0.166**</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0.151***</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-0.0922</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0.109**</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0.0659**</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0.0403</w:t>
            </w:r>
          </w:p>
        </w:tc>
      </w:tr>
      <w:tr w:rsidR="00442D5B" w:rsidRPr="001B20D0" w:rsidTr="004719C4">
        <w:trPr>
          <w:trHeight w:val="255"/>
        </w:trPr>
        <w:tc>
          <w:tcPr>
            <w:tcW w:w="2640" w:type="dxa"/>
            <w:vMerge/>
            <w:tcBorders>
              <w:top w:val="nil"/>
              <w:left w:val="nil"/>
              <w:bottom w:val="nil"/>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(0.0670)</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(0.0485)</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(0.0860)</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(0.0495)</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(0.0292)</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(0.0545)</w:t>
            </w:r>
          </w:p>
        </w:tc>
      </w:tr>
      <w:tr w:rsidR="00442D5B" w:rsidRPr="001B20D0" w:rsidTr="004719C4">
        <w:trPr>
          <w:trHeight w:val="255"/>
        </w:trPr>
        <w:tc>
          <w:tcPr>
            <w:tcW w:w="2640" w:type="dxa"/>
            <w:vMerge w:val="restart"/>
            <w:tcBorders>
              <w:top w:val="nil"/>
              <w:left w:val="nil"/>
              <w:bottom w:val="nil"/>
              <w:right w:val="nil"/>
            </w:tcBorders>
            <w:shd w:val="clear" w:color="auto" w:fill="auto"/>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Meat/fish per week (# of times)</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-0.101***</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-0.0240</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-0.00713</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-0.0358**</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-0.00310</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0.0108</w:t>
            </w:r>
          </w:p>
        </w:tc>
      </w:tr>
      <w:tr w:rsidR="00442D5B" w:rsidRPr="001B20D0" w:rsidTr="004719C4">
        <w:trPr>
          <w:trHeight w:val="255"/>
        </w:trPr>
        <w:tc>
          <w:tcPr>
            <w:tcW w:w="2640" w:type="dxa"/>
            <w:vMerge/>
            <w:tcBorders>
              <w:top w:val="nil"/>
              <w:left w:val="nil"/>
              <w:bottom w:val="nil"/>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(0.0214)</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(0.0177)</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(0.0305)</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(0.0153)</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(0.0107)</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(0.0187)</w:t>
            </w:r>
          </w:p>
        </w:tc>
      </w:tr>
      <w:tr w:rsidR="00442D5B" w:rsidRPr="001B20D0" w:rsidTr="004719C4">
        <w:trPr>
          <w:trHeight w:val="255"/>
        </w:trPr>
        <w:tc>
          <w:tcPr>
            <w:tcW w:w="2640" w:type="dxa"/>
            <w:vMerge w:val="restart"/>
            <w:tcBorders>
              <w:top w:val="nil"/>
              <w:left w:val="nil"/>
              <w:bottom w:val="nil"/>
              <w:right w:val="nil"/>
            </w:tcBorders>
            <w:shd w:val="clear" w:color="auto" w:fill="auto"/>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Problems satisfying food needs last year</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-0.148</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-0.302***</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-0.582***</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-0.101</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-0.141**</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-0.565***</w:t>
            </w:r>
          </w:p>
        </w:tc>
      </w:tr>
      <w:tr w:rsidR="00442D5B" w:rsidRPr="001B20D0" w:rsidTr="004719C4">
        <w:trPr>
          <w:trHeight w:val="255"/>
        </w:trPr>
        <w:tc>
          <w:tcPr>
            <w:tcW w:w="2640" w:type="dxa"/>
            <w:vMerge/>
            <w:tcBorders>
              <w:top w:val="nil"/>
              <w:left w:val="nil"/>
              <w:bottom w:val="nil"/>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(0.118)</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(0.0989)</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(0.167)</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(0.0849)</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(0.0584)</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(0.106)</w:t>
            </w:r>
          </w:p>
        </w:tc>
      </w:tr>
      <w:tr w:rsidR="00442D5B" w:rsidRPr="001B20D0" w:rsidTr="004719C4">
        <w:trPr>
          <w:trHeight w:val="255"/>
        </w:trPr>
        <w:tc>
          <w:tcPr>
            <w:tcW w:w="2640" w:type="dxa"/>
            <w:vMerge w:val="restart"/>
            <w:tcBorders>
              <w:top w:val="nil"/>
              <w:left w:val="nil"/>
              <w:bottom w:val="nil"/>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Weight/age</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27.76</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4.047</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27.02</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25.44*</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15.08</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24.40</w:t>
            </w:r>
          </w:p>
        </w:tc>
      </w:tr>
      <w:tr w:rsidR="00442D5B" w:rsidRPr="001B20D0" w:rsidTr="004719C4">
        <w:trPr>
          <w:trHeight w:val="255"/>
        </w:trPr>
        <w:tc>
          <w:tcPr>
            <w:tcW w:w="2640" w:type="dxa"/>
            <w:vMerge/>
            <w:tcBorders>
              <w:top w:val="nil"/>
              <w:left w:val="nil"/>
              <w:bottom w:val="nil"/>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(25.15)</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(16.32)</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(35.37)</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(15.18)</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(10.45)</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(16.71)</w:t>
            </w:r>
          </w:p>
        </w:tc>
      </w:tr>
      <w:tr w:rsidR="00442D5B" w:rsidRPr="001B20D0" w:rsidTr="004719C4">
        <w:trPr>
          <w:trHeight w:val="255"/>
        </w:trPr>
        <w:tc>
          <w:tcPr>
            <w:tcW w:w="2640" w:type="dxa"/>
            <w:vMerge w:val="restart"/>
            <w:tcBorders>
              <w:top w:val="nil"/>
              <w:left w:val="nil"/>
              <w:bottom w:val="nil"/>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Height/age</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22.03</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-2.673</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38.61</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31.44*</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18.36</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13.29</w:t>
            </w:r>
          </w:p>
        </w:tc>
      </w:tr>
      <w:tr w:rsidR="00442D5B" w:rsidRPr="001B20D0" w:rsidTr="004719C4">
        <w:trPr>
          <w:trHeight w:val="255"/>
        </w:trPr>
        <w:tc>
          <w:tcPr>
            <w:tcW w:w="2640" w:type="dxa"/>
            <w:vMerge/>
            <w:tcBorders>
              <w:top w:val="nil"/>
              <w:left w:val="nil"/>
              <w:bottom w:val="nil"/>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(24.02)</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(18.58)</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(42.16)</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(16.89)</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(12.32)</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(17.57)</w:t>
            </w:r>
          </w:p>
        </w:tc>
      </w:tr>
      <w:tr w:rsidR="00442D5B" w:rsidRPr="001B20D0" w:rsidTr="004719C4">
        <w:trPr>
          <w:trHeight w:val="255"/>
        </w:trPr>
        <w:tc>
          <w:tcPr>
            <w:tcW w:w="2640" w:type="dxa"/>
            <w:vMerge w:val="restart"/>
            <w:tcBorders>
              <w:top w:val="nil"/>
              <w:left w:val="nil"/>
              <w:bottom w:val="single" w:sz="4" w:space="0" w:color="000000"/>
              <w:right w:val="nil"/>
            </w:tcBorders>
            <w:shd w:val="clear" w:color="auto" w:fill="auto"/>
            <w:noWrap/>
            <w:vAlign w:val="center"/>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Weight/height</w:t>
            </w:r>
          </w:p>
        </w:tc>
        <w:tc>
          <w:tcPr>
            <w:tcW w:w="1134"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20.53</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8.815</w:t>
            </w:r>
          </w:p>
        </w:tc>
        <w:tc>
          <w:tcPr>
            <w:tcW w:w="1133"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5.242</w:t>
            </w:r>
          </w:p>
        </w:tc>
        <w:tc>
          <w:tcPr>
            <w:tcW w:w="1108"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8.729</w:t>
            </w:r>
          </w:p>
        </w:tc>
        <w:tc>
          <w:tcPr>
            <w:tcW w:w="1107"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2.883</w:t>
            </w:r>
          </w:p>
        </w:tc>
        <w:tc>
          <w:tcPr>
            <w:tcW w:w="1065" w:type="dxa"/>
            <w:tcBorders>
              <w:top w:val="nil"/>
              <w:left w:val="nil"/>
              <w:bottom w:val="nil"/>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19.15</w:t>
            </w:r>
          </w:p>
        </w:tc>
      </w:tr>
      <w:tr w:rsidR="00442D5B" w:rsidRPr="001B20D0" w:rsidTr="004719C4">
        <w:trPr>
          <w:trHeight w:val="255"/>
        </w:trPr>
        <w:tc>
          <w:tcPr>
            <w:tcW w:w="2640" w:type="dxa"/>
            <w:vMerge/>
            <w:tcBorders>
              <w:top w:val="nil"/>
              <w:left w:val="nil"/>
              <w:bottom w:val="single" w:sz="4" w:space="0" w:color="000000"/>
              <w:right w:val="nil"/>
            </w:tcBorders>
            <w:vAlign w:val="center"/>
            <w:hideMark/>
          </w:tcPr>
          <w:p w:rsidR="00442D5B" w:rsidRPr="001B20D0" w:rsidRDefault="00442D5B" w:rsidP="004719C4">
            <w:pPr>
              <w:widowControl/>
              <w:suppressAutoHyphens w:val="0"/>
              <w:rPr>
                <w:rFonts w:ascii="Arial" w:eastAsia="Times New Roman" w:hAnsi="Arial" w:cs="Arial"/>
                <w:kern w:val="0"/>
                <w:sz w:val="20"/>
                <w:szCs w:val="20"/>
                <w:lang w:eastAsia="en-US" w:bidi="ar-SA"/>
              </w:rPr>
            </w:pPr>
          </w:p>
        </w:tc>
        <w:tc>
          <w:tcPr>
            <w:tcW w:w="1134"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(26.16)</w:t>
            </w:r>
          </w:p>
        </w:tc>
        <w:tc>
          <w:tcPr>
            <w:tcW w:w="1133"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(15.81)</w:t>
            </w:r>
          </w:p>
        </w:tc>
        <w:tc>
          <w:tcPr>
            <w:tcW w:w="1133"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(28.92)</w:t>
            </w:r>
          </w:p>
        </w:tc>
        <w:tc>
          <w:tcPr>
            <w:tcW w:w="1108"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(16.48)</w:t>
            </w:r>
          </w:p>
        </w:tc>
        <w:tc>
          <w:tcPr>
            <w:tcW w:w="1107"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(10.23)</w:t>
            </w:r>
          </w:p>
        </w:tc>
        <w:tc>
          <w:tcPr>
            <w:tcW w:w="1065" w:type="dxa"/>
            <w:tcBorders>
              <w:top w:val="nil"/>
              <w:left w:val="nil"/>
              <w:bottom w:val="single" w:sz="4" w:space="0" w:color="auto"/>
              <w:right w:val="nil"/>
            </w:tcBorders>
            <w:shd w:val="clear" w:color="auto" w:fill="auto"/>
            <w:noWrap/>
            <w:vAlign w:val="bottom"/>
            <w:hideMark/>
          </w:tcPr>
          <w:p w:rsidR="00442D5B" w:rsidRPr="001B20D0" w:rsidRDefault="00442D5B" w:rsidP="004719C4">
            <w:pPr>
              <w:widowControl/>
              <w:suppressAutoHyphens w:val="0"/>
              <w:jc w:val="center"/>
              <w:rPr>
                <w:rFonts w:ascii="Arial" w:eastAsia="Times New Roman" w:hAnsi="Arial" w:cs="Arial"/>
                <w:kern w:val="0"/>
                <w:sz w:val="20"/>
                <w:szCs w:val="20"/>
                <w:lang w:eastAsia="en-US" w:bidi="ar-SA"/>
              </w:rPr>
            </w:pPr>
            <w:r w:rsidRPr="001B20D0">
              <w:rPr>
                <w:rFonts w:ascii="Arial" w:eastAsia="Times New Roman" w:hAnsi="Arial" w:cs="Arial"/>
                <w:kern w:val="0"/>
                <w:sz w:val="20"/>
                <w:szCs w:val="20"/>
                <w:lang w:eastAsia="en-US" w:bidi="ar-SA"/>
              </w:rPr>
              <w:t>(16.31)</w:t>
            </w:r>
          </w:p>
        </w:tc>
      </w:tr>
    </w:tbl>
    <w:p w:rsidR="00442D5B" w:rsidRDefault="00442D5B" w:rsidP="00442D5B"/>
    <w:p w:rsidR="00442D5B" w:rsidRDefault="00442D5B" w:rsidP="00442D5B">
      <w:r>
        <w:t>The results from the original, full sample using a 5km buffer are included for comparison. The coefficient values are similar when implementing a 0km and a 5km buffer. The 0km results are stronger in magnitude and significance because this sample includes fewer households that are not CBNRM. When expanding the radius 5km around the DHS GPS points, more households that are not truly in CBNRM will be included as CBNRM, diluting the CBNRM “effect” and biasing results against finding a significant effect.</w:t>
      </w:r>
    </w:p>
    <w:p w:rsidR="00442D5B" w:rsidRDefault="00442D5B" w:rsidP="00442D5B">
      <w:pPr>
        <w:pStyle w:val="ListParagraph"/>
      </w:pPr>
    </w:p>
    <w:p w:rsidR="00442D5B" w:rsidRDefault="00442D5B" w:rsidP="00442D5B">
      <w:pPr>
        <w:rPr>
          <w:sz w:val="18"/>
          <w:szCs w:val="18"/>
        </w:rPr>
      </w:pPr>
    </w:p>
    <w:p w:rsidR="00442D5B" w:rsidRPr="00BE327A" w:rsidRDefault="00442D5B" w:rsidP="00442D5B">
      <w:pPr>
        <w:rPr>
          <w:sz w:val="18"/>
          <w:szCs w:val="18"/>
        </w:rPr>
      </w:pPr>
    </w:p>
    <w:p w:rsidR="000B264B" w:rsidRDefault="000B264B"/>
    <w:sectPr w:rsidR="000B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5B"/>
    <w:rsid w:val="000B264B"/>
    <w:rsid w:val="00442D5B"/>
    <w:rsid w:val="006952D3"/>
    <w:rsid w:val="00CC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14D6-B390-4C70-8044-315495C6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5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5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2015-07-01T01:25:00Z</dcterms:created>
  <dcterms:modified xsi:type="dcterms:W3CDTF">2015-07-01T01:25:00Z</dcterms:modified>
</cp:coreProperties>
</file>