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5A" w:rsidRPr="00D75829" w:rsidRDefault="006F6A5A" w:rsidP="006F6A5A">
      <w:pPr>
        <w:widowControl w:val="0"/>
        <w:jc w:val="both"/>
        <w:rPr>
          <w:b/>
          <w:kern w:val="2"/>
          <w:sz w:val="21"/>
          <w:szCs w:val="21"/>
          <w:lang w:val="en-US" w:eastAsia="zh-CN"/>
        </w:rPr>
      </w:pPr>
      <w:proofErr w:type="gramStart"/>
      <w:r>
        <w:rPr>
          <w:b/>
          <w:kern w:val="2"/>
          <w:sz w:val="21"/>
          <w:szCs w:val="21"/>
          <w:lang w:val="en-US" w:eastAsia="zh-CN"/>
        </w:rPr>
        <w:t>S</w:t>
      </w:r>
      <w:r>
        <w:rPr>
          <w:rFonts w:hint="eastAsia"/>
          <w:b/>
          <w:kern w:val="2"/>
          <w:sz w:val="21"/>
          <w:szCs w:val="21"/>
          <w:lang w:val="en-US" w:eastAsia="zh-CN"/>
        </w:rPr>
        <w:t>3</w:t>
      </w:r>
      <w:r w:rsidRPr="00D75829">
        <w:rPr>
          <w:b/>
          <w:kern w:val="2"/>
          <w:sz w:val="21"/>
          <w:szCs w:val="21"/>
          <w:lang w:val="en-US" w:eastAsia="zh-CN"/>
        </w:rPr>
        <w:t xml:space="preserve"> Table.</w:t>
      </w:r>
      <w:proofErr w:type="gramEnd"/>
      <w:r w:rsidRPr="00D75829">
        <w:rPr>
          <w:b/>
          <w:kern w:val="2"/>
          <w:sz w:val="21"/>
          <w:szCs w:val="21"/>
          <w:lang w:val="en-US" w:eastAsia="zh-CN"/>
        </w:rPr>
        <w:t xml:space="preserve"> Major side effects reported in</w:t>
      </w:r>
      <w:r>
        <w:rPr>
          <w:rFonts w:hint="eastAsia"/>
          <w:b/>
          <w:kern w:val="2"/>
          <w:sz w:val="21"/>
          <w:szCs w:val="21"/>
          <w:lang w:val="en-US" w:eastAsia="zh-CN"/>
        </w:rPr>
        <w:t xml:space="preserve"> the</w:t>
      </w:r>
      <w:r w:rsidRPr="00D75829">
        <w:rPr>
          <w:b/>
          <w:kern w:val="2"/>
          <w:sz w:val="21"/>
          <w:szCs w:val="21"/>
          <w:lang w:val="en-US" w:eastAsia="zh-CN"/>
        </w:rPr>
        <w:t xml:space="preserve"> included studies</w:t>
      </w:r>
    </w:p>
    <w:tbl>
      <w:tblPr>
        <w:tblW w:w="5187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3"/>
        <w:gridCol w:w="2315"/>
        <w:gridCol w:w="2777"/>
        <w:gridCol w:w="4852"/>
        <w:gridCol w:w="1929"/>
      </w:tblGrid>
      <w:tr w:rsidR="006F6A5A" w:rsidRPr="00D75829" w:rsidTr="00824127">
        <w:trPr>
          <w:trHeight w:val="157"/>
          <w:jc w:val="center"/>
        </w:trPr>
        <w:tc>
          <w:tcPr>
            <w:tcW w:w="882" w:type="pct"/>
            <w:vMerge w:val="restart"/>
            <w:vAlign w:val="center"/>
          </w:tcPr>
          <w:p w:rsidR="006F6A5A" w:rsidRPr="00D75829" w:rsidRDefault="006F6A5A" w:rsidP="00824127">
            <w:pPr>
              <w:widowControl w:val="0"/>
              <w:jc w:val="center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b/>
                <w:kern w:val="2"/>
                <w:sz w:val="21"/>
                <w:szCs w:val="21"/>
                <w:lang w:val="en-US" w:eastAsia="zh-CN"/>
              </w:rPr>
              <w:t>Included study</w:t>
            </w:r>
          </w:p>
        </w:tc>
        <w:tc>
          <w:tcPr>
            <w:tcW w:w="803" w:type="pct"/>
            <w:vMerge w:val="restart"/>
            <w:vAlign w:val="center"/>
          </w:tcPr>
          <w:p w:rsidR="006F6A5A" w:rsidRPr="00D75829" w:rsidRDefault="006F6A5A" w:rsidP="00824127">
            <w:pPr>
              <w:widowControl w:val="0"/>
              <w:jc w:val="center"/>
              <w:rPr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b/>
                <w:kern w:val="2"/>
                <w:sz w:val="21"/>
                <w:szCs w:val="21"/>
                <w:lang w:val="en-US" w:eastAsia="zh-CN"/>
              </w:rPr>
              <w:t>Type of s</w:t>
            </w:r>
            <w:r w:rsidRPr="00D75829">
              <w:rPr>
                <w:b/>
                <w:kern w:val="2"/>
                <w:sz w:val="21"/>
                <w:szCs w:val="21"/>
                <w:lang w:val="en-US" w:eastAsia="zh-CN"/>
              </w:rPr>
              <w:t>urgery</w:t>
            </w:r>
          </w:p>
        </w:tc>
        <w:tc>
          <w:tcPr>
            <w:tcW w:w="2646" w:type="pct"/>
            <w:gridSpan w:val="2"/>
            <w:vAlign w:val="center"/>
          </w:tcPr>
          <w:p w:rsidR="006F6A5A" w:rsidRPr="00D75829" w:rsidRDefault="006F6A5A" w:rsidP="00824127">
            <w:pPr>
              <w:widowControl w:val="0"/>
              <w:jc w:val="center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b/>
                <w:kern w:val="2"/>
                <w:sz w:val="21"/>
                <w:szCs w:val="21"/>
                <w:lang w:val="en-US" w:eastAsia="zh-CN"/>
              </w:rPr>
              <w:t xml:space="preserve">Side </w:t>
            </w:r>
            <w:r>
              <w:rPr>
                <w:rFonts w:hint="eastAsia"/>
                <w:b/>
                <w:kern w:val="2"/>
                <w:sz w:val="21"/>
                <w:szCs w:val="21"/>
                <w:lang w:val="en-US" w:eastAsia="zh-CN"/>
              </w:rPr>
              <w:t>events</w:t>
            </w:r>
          </w:p>
        </w:tc>
        <w:tc>
          <w:tcPr>
            <w:tcW w:w="669" w:type="pct"/>
            <w:vMerge w:val="restart"/>
            <w:vAlign w:val="center"/>
          </w:tcPr>
          <w:p w:rsidR="006F6A5A" w:rsidRPr="00D75829" w:rsidRDefault="006F6A5A" w:rsidP="00824127">
            <w:pPr>
              <w:widowControl w:val="0"/>
              <w:jc w:val="center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b/>
                <w:kern w:val="2"/>
                <w:sz w:val="21"/>
                <w:szCs w:val="21"/>
                <w:lang w:val="en-US" w:eastAsia="zh-CN"/>
              </w:rPr>
              <w:t>Number of patients</w:t>
            </w:r>
          </w:p>
        </w:tc>
      </w:tr>
      <w:tr w:rsidR="006F6A5A" w:rsidRPr="00D75829" w:rsidTr="00824127">
        <w:trPr>
          <w:trHeight w:val="157"/>
          <w:jc w:val="center"/>
        </w:trPr>
        <w:tc>
          <w:tcPr>
            <w:tcW w:w="882" w:type="pct"/>
            <w:vMerge/>
            <w:vAlign w:val="center"/>
          </w:tcPr>
          <w:p w:rsidR="006F6A5A" w:rsidRPr="00D75829" w:rsidRDefault="006F6A5A" w:rsidP="00824127">
            <w:pPr>
              <w:widowControl w:val="0"/>
              <w:jc w:val="both"/>
              <w:rPr>
                <w:b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pct"/>
            <w:vMerge/>
            <w:vAlign w:val="center"/>
          </w:tcPr>
          <w:p w:rsidR="006F6A5A" w:rsidRPr="00D75829" w:rsidRDefault="006F6A5A" w:rsidP="00824127">
            <w:pPr>
              <w:widowControl w:val="0"/>
              <w:jc w:val="both"/>
              <w:rPr>
                <w:b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63" w:type="pct"/>
            <w:vAlign w:val="center"/>
          </w:tcPr>
          <w:p w:rsidR="006F6A5A" w:rsidRPr="00D75829" w:rsidRDefault="006F6A5A" w:rsidP="00824127">
            <w:pPr>
              <w:widowControl w:val="0"/>
              <w:jc w:val="center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b/>
                <w:kern w:val="2"/>
                <w:sz w:val="21"/>
                <w:szCs w:val="21"/>
                <w:lang w:val="en-US" w:eastAsia="zh-CN"/>
              </w:rPr>
              <w:t>Early (&lt;30 days)</w:t>
            </w:r>
          </w:p>
        </w:tc>
        <w:tc>
          <w:tcPr>
            <w:tcW w:w="1683" w:type="pct"/>
            <w:vAlign w:val="center"/>
          </w:tcPr>
          <w:p w:rsidR="006F6A5A" w:rsidRPr="00D75829" w:rsidRDefault="006F6A5A" w:rsidP="00824127">
            <w:pPr>
              <w:widowControl w:val="0"/>
              <w:jc w:val="center"/>
              <w:rPr>
                <w:b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b/>
                <w:kern w:val="2"/>
                <w:sz w:val="21"/>
                <w:szCs w:val="21"/>
                <w:lang w:val="en-US" w:eastAsia="zh-CN"/>
              </w:rPr>
              <w:t>Late (&gt;30 days)</w:t>
            </w:r>
          </w:p>
        </w:tc>
        <w:tc>
          <w:tcPr>
            <w:tcW w:w="669" w:type="pct"/>
            <w:vMerge/>
            <w:vAlign w:val="center"/>
          </w:tcPr>
          <w:p w:rsidR="006F6A5A" w:rsidRPr="00D75829" w:rsidRDefault="006F6A5A" w:rsidP="00824127">
            <w:pPr>
              <w:widowControl w:val="0"/>
              <w:jc w:val="both"/>
              <w:rPr>
                <w:b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6F6A5A" w:rsidRPr="00D75829" w:rsidTr="00824127">
        <w:trPr>
          <w:trHeight w:val="292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Ramos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DJB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None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None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 w:rsidR="006F6A5A" w:rsidRPr="00D75829" w:rsidTr="00824127">
        <w:trPr>
          <w:trHeight w:val="923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Depaula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LII+DSG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Fistula (n=1), gastrointestinal bleeding (n=1), urinary tract infection (n=1), pneumonia (n=2)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>Prolonged diarrhea (n=2, 2.9%), gout attack (n=2, 2.9%), prolonged emesis (n=3, 4.4%), urinary tract</w:t>
            </w:r>
          </w:p>
          <w:p w:rsidR="006F6A5A" w:rsidRPr="00D75829" w:rsidRDefault="006F6A5A" w:rsidP="00824127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1"/>
                <w:szCs w:val="21"/>
                <w:lang w:val="en-US" w:eastAsia="zh-CN"/>
              </w:rPr>
            </w:pPr>
            <w:proofErr w:type="gramStart"/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>infection</w:t>
            </w:r>
            <w:proofErr w:type="gramEnd"/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 xml:space="preserve"> (n=3, 4.4%), and fungal </w:t>
            </w:r>
            <w:proofErr w:type="spellStart"/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>esophagitis</w:t>
            </w:r>
            <w:proofErr w:type="spellEnd"/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 xml:space="preserve"> (n=1, 1.4%). Reoperation was done in 3 patients.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5</w:t>
            </w:r>
          </w:p>
        </w:tc>
      </w:tr>
      <w:tr w:rsidR="006F6A5A" w:rsidRPr="00D75829" w:rsidTr="00824127">
        <w:trPr>
          <w:trHeight w:val="300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Geloneze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DJB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Minor hypoglycemic events (n=3)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None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 w:rsidR="006F6A5A" w:rsidRPr="00D75829" w:rsidTr="00824127">
        <w:trPr>
          <w:trHeight w:val="308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Lee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DJB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Marginal ulcer and </w:t>
            </w: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illeus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(n=2).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None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2</w:t>
            </w:r>
          </w:p>
        </w:tc>
      </w:tr>
      <w:tr w:rsidR="006F6A5A" w:rsidRPr="00D75829" w:rsidTr="00824127">
        <w:trPr>
          <w:trHeight w:val="151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Kim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LMGB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None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None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 w:rsidR="006F6A5A" w:rsidRPr="00D75829" w:rsidTr="00824127">
        <w:trPr>
          <w:trHeight w:val="308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Navarette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LSG+DJB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Intraabdominal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bleeding (n=1)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None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1</w:t>
            </w:r>
          </w:p>
        </w:tc>
      </w:tr>
      <w:tr w:rsidR="006F6A5A" w:rsidRPr="00D75829" w:rsidTr="00824127">
        <w:trPr>
          <w:trHeight w:val="151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Scopirano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BPD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Intraperitoneal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Bleeding (n=1)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Prolonged diarrhea (n=1)</w:t>
            </w:r>
          </w:p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Reoperation (n=1)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1</w:t>
            </w:r>
          </w:p>
        </w:tc>
      </w:tr>
      <w:tr w:rsidR="006F6A5A" w:rsidRPr="00D75829" w:rsidTr="00824127">
        <w:trPr>
          <w:trHeight w:val="157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 xml:space="preserve">M. </w:t>
            </w:r>
            <w:proofErr w:type="spellStart"/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>García</w:t>
            </w:r>
            <w:proofErr w:type="spellEnd"/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 xml:space="preserve"> et al 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BAGUA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Not reported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Not reported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 w:rsidR="006F6A5A" w:rsidRPr="00D75829" w:rsidTr="00824127">
        <w:trPr>
          <w:trHeight w:val="300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color w:val="000000"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color w:val="000000"/>
                <w:kern w:val="2"/>
                <w:sz w:val="21"/>
                <w:szCs w:val="21"/>
                <w:lang w:val="en-US" w:eastAsia="zh-CN"/>
              </w:rPr>
              <w:t xml:space="preserve">J.B. Dixon </w:t>
            </w:r>
            <w:r w:rsidRPr="00D75829">
              <w:rPr>
                <w:kern w:val="2"/>
                <w:sz w:val="21"/>
                <w:szCs w:val="21"/>
                <w:lang w:val="en-US" w:eastAsia="zh-CN"/>
              </w:rPr>
              <w:t>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MGB+RYGB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Gastrointestinal bleeding (n=2)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autoSpaceDE w:val="0"/>
              <w:autoSpaceDN w:val="0"/>
              <w:adjustRightInd w:val="0"/>
              <w:rPr>
                <w:color w:val="231F20"/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A</w:t>
            </w:r>
            <w:r w:rsidRPr="00D75829">
              <w:rPr>
                <w:color w:val="231F20"/>
                <w:kern w:val="2"/>
                <w:sz w:val="21"/>
                <w:szCs w:val="21"/>
                <w:lang w:val="en-US" w:eastAsia="zh-CN"/>
              </w:rPr>
              <w:t xml:space="preserve">nemia (n=34, 33%), Marginal ulcer (n=7, 7%), </w:t>
            </w:r>
            <w:proofErr w:type="spellStart"/>
            <w:r w:rsidRPr="00D75829">
              <w:rPr>
                <w:color w:val="231F20"/>
                <w:kern w:val="2"/>
                <w:sz w:val="21"/>
                <w:szCs w:val="21"/>
                <w:lang w:val="en-US" w:eastAsia="zh-CN"/>
              </w:rPr>
              <w:t>Reﬂux</w:t>
            </w:r>
            <w:proofErr w:type="spellEnd"/>
            <w:r w:rsidRPr="00D75829">
              <w:rPr>
                <w:color w:val="231F20"/>
                <w:kern w:val="2"/>
                <w:sz w:val="21"/>
                <w:szCs w:val="21"/>
                <w:lang w:val="en-US" w:eastAsia="zh-CN"/>
              </w:rPr>
              <w:t xml:space="preserve"> </w:t>
            </w:r>
            <w:proofErr w:type="spellStart"/>
            <w:r w:rsidRPr="00D75829">
              <w:rPr>
                <w:color w:val="231F20"/>
                <w:kern w:val="2"/>
                <w:sz w:val="21"/>
                <w:szCs w:val="21"/>
                <w:lang w:val="en-US" w:eastAsia="zh-CN"/>
              </w:rPr>
              <w:t>esophagitis</w:t>
            </w:r>
            <w:proofErr w:type="spellEnd"/>
          </w:p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color w:val="231F20"/>
                <w:kern w:val="2"/>
                <w:sz w:val="21"/>
                <w:szCs w:val="21"/>
                <w:lang w:val="en-US" w:eastAsia="zh-CN"/>
              </w:rPr>
              <w:t xml:space="preserve">(n=10, 10%), </w:t>
            </w:r>
            <w:proofErr w:type="spellStart"/>
            <w:r w:rsidRPr="00D75829">
              <w:rPr>
                <w:color w:val="231F20"/>
                <w:kern w:val="2"/>
                <w:sz w:val="21"/>
                <w:szCs w:val="21"/>
                <w:lang w:val="en-US" w:eastAsia="zh-CN"/>
              </w:rPr>
              <w:t>Osteopenia</w:t>
            </w:r>
            <w:proofErr w:type="spellEnd"/>
            <w:r w:rsidRPr="00D75829">
              <w:rPr>
                <w:color w:val="231F20"/>
                <w:kern w:val="2"/>
                <w:sz w:val="21"/>
                <w:szCs w:val="21"/>
                <w:lang w:val="en-US" w:eastAsia="zh-CN"/>
              </w:rPr>
              <w:t xml:space="preserve"> (n=4, 4%)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2</w:t>
            </w:r>
          </w:p>
        </w:tc>
      </w:tr>
      <w:tr w:rsidR="006F6A5A" w:rsidRPr="00D75829" w:rsidTr="00824127">
        <w:trPr>
          <w:trHeight w:val="157"/>
          <w:jc w:val="center"/>
        </w:trPr>
        <w:tc>
          <w:tcPr>
            <w:tcW w:w="882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C </w:t>
            </w:r>
            <w:proofErr w:type="spellStart"/>
            <w:r w:rsidRPr="00D75829">
              <w:rPr>
                <w:kern w:val="2"/>
                <w:sz w:val="21"/>
                <w:szCs w:val="21"/>
                <w:lang w:val="en-US" w:eastAsia="zh-CN"/>
              </w:rPr>
              <w:t>shrestha</w:t>
            </w:r>
            <w:proofErr w:type="spellEnd"/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 et al</w:t>
            </w:r>
          </w:p>
        </w:tc>
        <w:tc>
          <w:tcPr>
            <w:tcW w:w="80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6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Not reported</w:t>
            </w:r>
          </w:p>
        </w:tc>
        <w:tc>
          <w:tcPr>
            <w:tcW w:w="1683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Not reported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 w:rsidR="006F6A5A" w:rsidRPr="00D75829" w:rsidTr="00824127">
        <w:trPr>
          <w:trHeight w:val="315"/>
          <w:jc w:val="center"/>
        </w:trPr>
        <w:tc>
          <w:tcPr>
            <w:tcW w:w="4331" w:type="pct"/>
            <w:gridSpan w:val="4"/>
          </w:tcPr>
          <w:p w:rsidR="006F6A5A" w:rsidRPr="00D75829" w:rsidRDefault="006F6A5A" w:rsidP="00824127">
            <w:pPr>
              <w:widowControl w:val="0"/>
              <w:jc w:val="both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>Total</w:t>
            </w:r>
          </w:p>
        </w:tc>
        <w:tc>
          <w:tcPr>
            <w:tcW w:w="669" w:type="pct"/>
          </w:tcPr>
          <w:p w:rsidR="006F6A5A" w:rsidRPr="00D75829" w:rsidRDefault="006F6A5A" w:rsidP="00824127">
            <w:pPr>
              <w:widowControl w:val="0"/>
              <w:jc w:val="both"/>
              <w:rPr>
                <w:kern w:val="2"/>
                <w:sz w:val="21"/>
                <w:szCs w:val="21"/>
                <w:lang w:val="en-US" w:eastAsia="zh-CN"/>
              </w:rPr>
            </w:pPr>
            <w:r w:rsidRPr="00D75829">
              <w:rPr>
                <w:kern w:val="2"/>
                <w:sz w:val="21"/>
                <w:szCs w:val="21"/>
                <w:lang w:val="en-US" w:eastAsia="zh-CN"/>
              </w:rPr>
              <w:t xml:space="preserve">6.2% (n=14/225) </w:t>
            </w:r>
          </w:p>
        </w:tc>
      </w:tr>
    </w:tbl>
    <w:p w:rsidR="006F6A5A" w:rsidRDefault="006F6A5A" w:rsidP="006F6A5A">
      <w:pPr>
        <w:rPr>
          <w:sz w:val="21"/>
          <w:szCs w:val="21"/>
          <w:lang w:val="en-US" w:eastAsia="zh-CN"/>
        </w:rPr>
      </w:pPr>
      <w:r w:rsidRPr="00D75829">
        <w:rPr>
          <w:sz w:val="21"/>
          <w:szCs w:val="21"/>
          <w:lang w:val="en-US" w:eastAsia="zh-CN"/>
        </w:rPr>
        <w:t xml:space="preserve">BAGUA = one </w:t>
      </w:r>
      <w:proofErr w:type="spellStart"/>
      <w:r w:rsidRPr="00D75829">
        <w:rPr>
          <w:sz w:val="21"/>
          <w:szCs w:val="21"/>
          <w:lang w:val="en-US" w:eastAsia="zh-CN"/>
        </w:rPr>
        <w:t>anastomosis</w:t>
      </w:r>
      <w:proofErr w:type="spellEnd"/>
      <w:r w:rsidRPr="00D75829">
        <w:rPr>
          <w:sz w:val="21"/>
          <w:szCs w:val="21"/>
          <w:lang w:val="en-US" w:eastAsia="zh-CN"/>
        </w:rPr>
        <w:t xml:space="preserve"> gastric bypass; BPD = </w:t>
      </w:r>
      <w:proofErr w:type="spellStart"/>
      <w:r w:rsidRPr="00D75829">
        <w:rPr>
          <w:sz w:val="21"/>
          <w:szCs w:val="21"/>
          <w:lang w:val="en-US" w:eastAsia="zh-CN"/>
        </w:rPr>
        <w:t>biliopancreatic</w:t>
      </w:r>
      <w:proofErr w:type="spellEnd"/>
      <w:r w:rsidRPr="00D75829">
        <w:rPr>
          <w:sz w:val="21"/>
          <w:szCs w:val="21"/>
          <w:lang w:val="en-US" w:eastAsia="zh-CN"/>
        </w:rPr>
        <w:t xml:space="preserve"> diversion; DJB = </w:t>
      </w:r>
      <w:proofErr w:type="spellStart"/>
      <w:r w:rsidRPr="00D75829">
        <w:rPr>
          <w:sz w:val="21"/>
          <w:szCs w:val="21"/>
          <w:lang w:val="en-US" w:eastAsia="zh-CN"/>
        </w:rPr>
        <w:t>duodenojejunal</w:t>
      </w:r>
      <w:proofErr w:type="spellEnd"/>
      <w:r w:rsidRPr="00D75829">
        <w:rPr>
          <w:sz w:val="21"/>
          <w:szCs w:val="21"/>
          <w:lang w:val="en-US" w:eastAsia="zh-CN"/>
        </w:rPr>
        <w:t xml:space="preserve"> bypass; LII-DSG = laparoscopic sleeve </w:t>
      </w:r>
      <w:proofErr w:type="spellStart"/>
      <w:r w:rsidRPr="00D75829">
        <w:rPr>
          <w:sz w:val="21"/>
          <w:szCs w:val="21"/>
          <w:lang w:val="en-US" w:eastAsia="zh-CN"/>
        </w:rPr>
        <w:t>gastrectomy</w:t>
      </w:r>
      <w:proofErr w:type="spellEnd"/>
      <w:r w:rsidRPr="00D75829">
        <w:rPr>
          <w:sz w:val="21"/>
          <w:szCs w:val="21"/>
          <w:lang w:val="en-US" w:eastAsia="zh-CN"/>
        </w:rPr>
        <w:t>; LMGB = laparoscopic mini gastric bypass; RYGB = roux-en-Y gastric bypass</w:t>
      </w:r>
    </w:p>
    <w:sectPr w:rsidR="006F6A5A" w:rsidSect="00E71507">
      <w:footerReference w:type="default" r:id="rId4"/>
      <w:pgSz w:w="15840" w:h="12240" w:orient="landscape"/>
      <w:pgMar w:top="431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D5" w:rsidRDefault="006F6A5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C68D5" w:rsidRDefault="006F6A5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A5A"/>
    <w:rsid w:val="0042003B"/>
    <w:rsid w:val="006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A"/>
    <w:rPr>
      <w:rFonts w:ascii="Times New Roman" w:eastAsia="宋体" w:hAnsi="Times New Roman" w:cs="Times New Roman"/>
      <w:kern w:val="0"/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6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F6A5A"/>
    <w:rPr>
      <w:rFonts w:ascii="Times New Roman" w:eastAsia="宋体" w:hAnsi="Times New Roman" w:cs="Times New Roman"/>
      <w:kern w:val="0"/>
      <w:sz w:val="18"/>
      <w:szCs w:val="18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Sheyu Li</dc:creator>
  <cp:lastModifiedBy>Sheyu Li</cp:lastModifiedBy>
  <cp:revision>1</cp:revision>
  <dcterms:created xsi:type="dcterms:W3CDTF">2015-06-20T18:15:00Z</dcterms:created>
  <dcterms:modified xsi:type="dcterms:W3CDTF">2015-06-20T18:15:00Z</dcterms:modified>
</cp:coreProperties>
</file>