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6C" w:rsidRDefault="00BD616C" w:rsidP="00BD616C">
      <w:pPr>
        <w:pStyle w:val="Heading1"/>
      </w:pPr>
      <w:r>
        <w:t>Supporting Information</w:t>
      </w:r>
    </w:p>
    <w:p w:rsidR="00BD616C" w:rsidRDefault="00BD616C" w:rsidP="00BD616C">
      <w:pPr>
        <w:spacing w:before="240" w:line="480" w:lineRule="auto"/>
        <w:rPr>
          <w:rFonts w:ascii="Times New Roman" w:hAnsi="Times New Roman"/>
          <w:b/>
          <w:sz w:val="24"/>
          <w:szCs w:val="24"/>
        </w:rPr>
      </w:pPr>
    </w:p>
    <w:p w:rsidR="00BD616C" w:rsidRDefault="00BD616C" w:rsidP="00BD616C">
      <w:pPr>
        <w:spacing w:before="240" w:line="480" w:lineRule="auto"/>
        <w:rPr>
          <w:rFonts w:ascii="Times New Roman" w:hAnsi="Times New Roman"/>
          <w:b/>
          <w:sz w:val="24"/>
          <w:szCs w:val="24"/>
        </w:rPr>
      </w:pPr>
      <w:proofErr w:type="gramStart"/>
      <w:r w:rsidRPr="00B32DA8">
        <w:rPr>
          <w:rFonts w:ascii="Times New Roman" w:hAnsi="Times New Roman"/>
          <w:b/>
          <w:sz w:val="24"/>
          <w:szCs w:val="24"/>
        </w:rPr>
        <w:t>S1 Fig.</w:t>
      </w:r>
      <w:proofErr w:type="gramEnd"/>
      <w:r w:rsidRPr="00B32DA8">
        <w:rPr>
          <w:rFonts w:ascii="Times New Roman" w:hAnsi="Times New Roman"/>
          <w:b/>
          <w:sz w:val="24"/>
          <w:szCs w:val="24"/>
        </w:rPr>
        <w:t xml:space="preserve"> Amplification for C</w:t>
      </w:r>
      <w:r>
        <w:rPr>
          <w:rFonts w:ascii="Times New Roman" w:hAnsi="Times New Roman"/>
          <w:b/>
          <w:sz w:val="24"/>
          <w:szCs w:val="24"/>
        </w:rPr>
        <w:t>ore</w:t>
      </w:r>
      <w:r w:rsidRPr="00B32DA8">
        <w:rPr>
          <w:rFonts w:ascii="Times New Roman" w:hAnsi="Times New Roman"/>
          <w:b/>
          <w:sz w:val="24"/>
          <w:szCs w:val="24"/>
        </w:rPr>
        <w:t>-E2 HCV region altering reaction conditions for the (A) Reverse transcription (B) PCR</w:t>
      </w:r>
    </w:p>
    <w:p w:rsidR="00BD616C" w:rsidRPr="00B32DA8" w:rsidRDefault="00BD616C" w:rsidP="00BD616C">
      <w:pPr>
        <w:spacing w:line="480" w:lineRule="auto"/>
        <w:rPr>
          <w:rFonts w:ascii="Times New Roman" w:hAnsi="Times New Roman"/>
        </w:rPr>
      </w:pPr>
      <w:r w:rsidRPr="006F38B0">
        <w:rPr>
          <w:rFonts w:ascii="Times New Roman" w:hAnsi="Times New Roman"/>
          <w:sz w:val="24"/>
          <w:szCs w:val="24"/>
        </w:rPr>
        <w:t>(</w:t>
      </w:r>
      <w:r>
        <w:rPr>
          <w:rFonts w:ascii="Times New Roman" w:hAnsi="Times New Roman"/>
          <w:sz w:val="24"/>
          <w:szCs w:val="24"/>
        </w:rPr>
        <w:t>A</w:t>
      </w:r>
      <w:r w:rsidRPr="006F38B0">
        <w:rPr>
          <w:rFonts w:ascii="Times New Roman" w:hAnsi="Times New Roman"/>
          <w:sz w:val="24"/>
          <w:szCs w:val="24"/>
        </w:rPr>
        <w:t>) Viral</w:t>
      </w:r>
      <w:r w:rsidRPr="003A11F6">
        <w:rPr>
          <w:rFonts w:ascii="Times New Roman" w:hAnsi="Times New Roman"/>
          <w:sz w:val="24"/>
          <w:szCs w:val="24"/>
        </w:rPr>
        <w:t xml:space="preserve"> RNA </w:t>
      </w:r>
      <w:r>
        <w:rPr>
          <w:rFonts w:ascii="Times New Roman" w:hAnsi="Times New Roman"/>
          <w:sz w:val="24"/>
          <w:szCs w:val="24"/>
        </w:rPr>
        <w:t>was</w:t>
      </w:r>
      <w:r w:rsidRPr="003A11F6">
        <w:rPr>
          <w:rFonts w:ascii="Times New Roman" w:hAnsi="Times New Roman"/>
          <w:sz w:val="24"/>
          <w:szCs w:val="24"/>
        </w:rPr>
        <w:t xml:space="preserve"> reverse transcribed (RT) with the VILO system (Invitrogen) </w:t>
      </w:r>
      <w:r>
        <w:rPr>
          <w:rFonts w:ascii="Times New Roman" w:hAnsi="Times New Roman"/>
          <w:sz w:val="24"/>
          <w:szCs w:val="24"/>
        </w:rPr>
        <w:t>using</w:t>
      </w:r>
      <w:r w:rsidRPr="003A11F6">
        <w:rPr>
          <w:rFonts w:ascii="Times New Roman" w:hAnsi="Times New Roman"/>
          <w:sz w:val="24"/>
          <w:szCs w:val="24"/>
        </w:rPr>
        <w:t xml:space="preserve"> Superscript III and random hexamers and PCR additive </w:t>
      </w:r>
      <w:proofErr w:type="spellStart"/>
      <w:r w:rsidRPr="003A11F6">
        <w:rPr>
          <w:rFonts w:ascii="Times New Roman" w:hAnsi="Times New Roman"/>
          <w:sz w:val="24"/>
          <w:szCs w:val="24"/>
        </w:rPr>
        <w:t>PolyMate</w:t>
      </w:r>
      <w:proofErr w:type="spellEnd"/>
      <w:r w:rsidRPr="003A11F6">
        <w:rPr>
          <w:rFonts w:ascii="Times New Roman" w:hAnsi="Times New Roman"/>
          <w:sz w:val="24"/>
          <w:szCs w:val="24"/>
        </w:rPr>
        <w:t xml:space="preserve"> (</w:t>
      </w:r>
      <w:proofErr w:type="spellStart"/>
      <w:r w:rsidRPr="003A11F6">
        <w:rPr>
          <w:rFonts w:ascii="Times New Roman" w:hAnsi="Times New Roman"/>
          <w:sz w:val="24"/>
          <w:szCs w:val="24"/>
        </w:rPr>
        <w:t>Bioline</w:t>
      </w:r>
      <w:proofErr w:type="spellEnd"/>
      <w:r w:rsidRPr="003A11F6">
        <w:rPr>
          <w:rFonts w:ascii="Times New Roman" w:hAnsi="Times New Roman"/>
          <w:sz w:val="24"/>
          <w:szCs w:val="24"/>
        </w:rPr>
        <w:t xml:space="preserve">) at three different temperatures for one hour RT: 42°C, 50°C and 60°C. </w:t>
      </w:r>
      <w:r>
        <w:rPr>
          <w:rFonts w:ascii="Times New Roman" w:hAnsi="Times New Roman"/>
          <w:sz w:val="24"/>
          <w:szCs w:val="24"/>
        </w:rPr>
        <w:t xml:space="preserve"> (B) </w:t>
      </w:r>
      <w:r w:rsidRPr="003A11F6">
        <w:rPr>
          <w:rFonts w:ascii="Times New Roman" w:hAnsi="Times New Roman"/>
          <w:sz w:val="24"/>
          <w:szCs w:val="24"/>
        </w:rPr>
        <w:t xml:space="preserve">Limit of detection of PCR amplification of </w:t>
      </w:r>
      <w:r>
        <w:rPr>
          <w:rFonts w:ascii="Times New Roman" w:hAnsi="Times New Roman"/>
          <w:sz w:val="24"/>
          <w:szCs w:val="24"/>
        </w:rPr>
        <w:t>Core-HVR1</w:t>
      </w:r>
      <w:r w:rsidRPr="003A11F6">
        <w:rPr>
          <w:rFonts w:ascii="Times New Roman" w:hAnsi="Times New Roman"/>
          <w:sz w:val="24"/>
          <w:szCs w:val="24"/>
        </w:rPr>
        <w:t xml:space="preserve"> (1000IU/mL) and NS5B (3000IU/mL) of serial dilutions of known positive plasma samples as shown on agarose gel of PCR products after PCR amplification. The reverse transcription reaction was </w:t>
      </w:r>
      <w:r>
        <w:rPr>
          <w:rFonts w:ascii="Times New Roman" w:hAnsi="Times New Roman"/>
          <w:sz w:val="24"/>
          <w:szCs w:val="24"/>
        </w:rPr>
        <w:t>performed</w:t>
      </w:r>
      <w:r w:rsidRPr="003A11F6">
        <w:rPr>
          <w:rFonts w:ascii="Times New Roman" w:hAnsi="Times New Roman"/>
          <w:sz w:val="24"/>
          <w:szCs w:val="24"/>
        </w:rPr>
        <w:t xml:space="preserve"> with both </w:t>
      </w:r>
      <w:proofErr w:type="spellStart"/>
      <w:r w:rsidRPr="003A11F6">
        <w:rPr>
          <w:rFonts w:ascii="Times New Roman" w:hAnsi="Times New Roman"/>
          <w:sz w:val="24"/>
          <w:szCs w:val="24"/>
        </w:rPr>
        <w:t>polymate</w:t>
      </w:r>
      <w:proofErr w:type="spellEnd"/>
      <w:r w:rsidRPr="003A11F6">
        <w:rPr>
          <w:rFonts w:ascii="Times New Roman" w:hAnsi="Times New Roman"/>
          <w:sz w:val="24"/>
          <w:szCs w:val="24"/>
        </w:rPr>
        <w:t xml:space="preserve"> at 60ºC and without at 42ºC for comparison</w:t>
      </w:r>
    </w:p>
    <w:p w:rsidR="00BD616C" w:rsidRPr="00B32DA8" w:rsidRDefault="00BD616C" w:rsidP="00BD616C">
      <w:pPr>
        <w:spacing w:line="480" w:lineRule="auto"/>
        <w:rPr>
          <w:rFonts w:ascii="Times New Roman" w:hAnsi="Times New Roman"/>
          <w:b/>
          <w:sz w:val="24"/>
          <w:szCs w:val="24"/>
        </w:rPr>
      </w:pPr>
      <w:proofErr w:type="gramStart"/>
      <w:r w:rsidRPr="00B32DA8">
        <w:rPr>
          <w:rFonts w:ascii="Times New Roman" w:hAnsi="Times New Roman"/>
          <w:b/>
          <w:sz w:val="24"/>
          <w:szCs w:val="24"/>
        </w:rPr>
        <w:t>S2 Fig.</w:t>
      </w:r>
      <w:proofErr w:type="gramEnd"/>
      <w:r w:rsidRPr="00B32DA8">
        <w:rPr>
          <w:rFonts w:ascii="Times New Roman" w:hAnsi="Times New Roman"/>
          <w:b/>
          <w:sz w:val="24"/>
          <w:szCs w:val="24"/>
        </w:rPr>
        <w:t xml:space="preserve"> </w:t>
      </w:r>
      <w:proofErr w:type="gramStart"/>
      <w:r w:rsidRPr="00B32DA8">
        <w:rPr>
          <w:rFonts w:ascii="Times New Roman" w:hAnsi="Times New Roman"/>
          <w:b/>
          <w:sz w:val="24"/>
          <w:szCs w:val="24"/>
        </w:rPr>
        <w:t xml:space="preserve">Effect of </w:t>
      </w:r>
      <w:proofErr w:type="spellStart"/>
      <w:r w:rsidRPr="00B32DA8">
        <w:rPr>
          <w:rFonts w:ascii="Times New Roman" w:hAnsi="Times New Roman"/>
          <w:b/>
          <w:sz w:val="24"/>
          <w:szCs w:val="24"/>
        </w:rPr>
        <w:t>PolyMate</w:t>
      </w:r>
      <w:proofErr w:type="spellEnd"/>
      <w:r w:rsidRPr="00B32DA8">
        <w:rPr>
          <w:rFonts w:ascii="Times New Roman" w:hAnsi="Times New Roman"/>
          <w:b/>
          <w:sz w:val="24"/>
          <w:szCs w:val="24"/>
        </w:rPr>
        <w:t xml:space="preserve"> on Sanger Sequencing reaction of C</w:t>
      </w:r>
      <w:r>
        <w:rPr>
          <w:rFonts w:ascii="Times New Roman" w:hAnsi="Times New Roman"/>
          <w:b/>
          <w:sz w:val="24"/>
          <w:szCs w:val="24"/>
        </w:rPr>
        <w:t>ore</w:t>
      </w:r>
      <w:r w:rsidRPr="00B32DA8">
        <w:rPr>
          <w:rFonts w:ascii="Times New Roman" w:hAnsi="Times New Roman"/>
          <w:b/>
          <w:sz w:val="24"/>
          <w:szCs w:val="24"/>
        </w:rPr>
        <w:t>-E2 amplicon.</w:t>
      </w:r>
      <w:proofErr w:type="gramEnd"/>
    </w:p>
    <w:p w:rsidR="00BD616C" w:rsidRPr="00CB7090" w:rsidRDefault="00BD616C" w:rsidP="00BD616C">
      <w:pPr>
        <w:spacing w:line="480" w:lineRule="auto"/>
        <w:rPr>
          <w:rFonts w:ascii="Times New Roman" w:hAnsi="Times New Roman"/>
          <w:sz w:val="24"/>
          <w:szCs w:val="24"/>
        </w:rPr>
      </w:pPr>
      <w:proofErr w:type="spellStart"/>
      <w:r w:rsidRPr="003A11F6">
        <w:rPr>
          <w:rFonts w:ascii="Times New Roman" w:hAnsi="Times New Roman"/>
          <w:sz w:val="24"/>
          <w:szCs w:val="24"/>
        </w:rPr>
        <w:t>Polymate</w:t>
      </w:r>
      <w:proofErr w:type="spellEnd"/>
      <w:r w:rsidRPr="003A11F6">
        <w:rPr>
          <w:rFonts w:ascii="Times New Roman" w:hAnsi="Times New Roman"/>
          <w:sz w:val="24"/>
          <w:szCs w:val="24"/>
        </w:rPr>
        <w:t xml:space="preserve"> used for sequencing reaction remove</w:t>
      </w:r>
      <w:r>
        <w:rPr>
          <w:rFonts w:ascii="Times New Roman" w:hAnsi="Times New Roman"/>
          <w:sz w:val="24"/>
          <w:szCs w:val="24"/>
        </w:rPr>
        <w:t>d</w:t>
      </w:r>
      <w:r w:rsidRPr="003A11F6">
        <w:rPr>
          <w:rFonts w:ascii="Times New Roman" w:hAnsi="Times New Roman"/>
          <w:sz w:val="24"/>
          <w:szCs w:val="24"/>
        </w:rPr>
        <w:t xml:space="preserve"> secondary structure</w:t>
      </w:r>
      <w:r>
        <w:rPr>
          <w:rFonts w:ascii="Times New Roman" w:hAnsi="Times New Roman"/>
          <w:sz w:val="24"/>
          <w:szCs w:val="24"/>
        </w:rPr>
        <w:t>s</w:t>
      </w:r>
      <w:r w:rsidRPr="003A11F6">
        <w:rPr>
          <w:rFonts w:ascii="Times New Roman" w:hAnsi="Times New Roman"/>
          <w:sz w:val="24"/>
          <w:szCs w:val="24"/>
        </w:rPr>
        <w:t xml:space="preserve"> as shown on the </w:t>
      </w:r>
      <w:r>
        <w:rPr>
          <w:rFonts w:ascii="Times New Roman" w:hAnsi="Times New Roman"/>
          <w:sz w:val="24"/>
          <w:szCs w:val="24"/>
        </w:rPr>
        <w:t>Core-HVR1</w:t>
      </w:r>
      <w:r w:rsidRPr="003A11F6">
        <w:rPr>
          <w:rFonts w:ascii="Times New Roman" w:hAnsi="Times New Roman"/>
          <w:sz w:val="24"/>
          <w:szCs w:val="24"/>
        </w:rPr>
        <w:t xml:space="preserve"> sequencing raw fluorescence graphs</w:t>
      </w:r>
      <w:r>
        <w:rPr>
          <w:rFonts w:ascii="Times New Roman" w:hAnsi="Times New Roman"/>
          <w:sz w:val="24"/>
          <w:szCs w:val="24"/>
        </w:rPr>
        <w:t xml:space="preserve"> (top</w:t>
      </w:r>
      <w:r w:rsidRPr="003A11F6">
        <w:rPr>
          <w:rFonts w:ascii="Times New Roman" w:hAnsi="Times New Roman"/>
          <w:sz w:val="24"/>
          <w:szCs w:val="24"/>
        </w:rPr>
        <w:t>)</w:t>
      </w:r>
      <w:r>
        <w:rPr>
          <w:rFonts w:ascii="Times New Roman" w:hAnsi="Times New Roman"/>
          <w:sz w:val="24"/>
          <w:szCs w:val="24"/>
        </w:rPr>
        <w:t>,</w:t>
      </w:r>
      <w:r w:rsidRPr="003A11F6">
        <w:rPr>
          <w:rFonts w:ascii="Times New Roman" w:hAnsi="Times New Roman"/>
          <w:sz w:val="24"/>
          <w:szCs w:val="24"/>
        </w:rPr>
        <w:t xml:space="preserve"> which improve</w:t>
      </w:r>
      <w:r>
        <w:rPr>
          <w:rFonts w:ascii="Times New Roman" w:hAnsi="Times New Roman"/>
          <w:sz w:val="24"/>
          <w:szCs w:val="24"/>
        </w:rPr>
        <w:t>d</w:t>
      </w:r>
      <w:r w:rsidRPr="003A11F6">
        <w:rPr>
          <w:rFonts w:ascii="Times New Roman" w:hAnsi="Times New Roman"/>
          <w:sz w:val="24"/>
          <w:szCs w:val="24"/>
        </w:rPr>
        <w:t xml:space="preserve"> the length of the sequence and </w:t>
      </w:r>
      <w:proofErr w:type="spellStart"/>
      <w:r w:rsidRPr="003A11F6">
        <w:rPr>
          <w:rFonts w:ascii="Times New Roman" w:hAnsi="Times New Roman"/>
          <w:sz w:val="24"/>
          <w:szCs w:val="24"/>
        </w:rPr>
        <w:t>s</w:t>
      </w:r>
      <w:r>
        <w:rPr>
          <w:rFonts w:ascii="Times New Roman" w:hAnsi="Times New Roman"/>
          <w:sz w:val="24"/>
          <w:szCs w:val="24"/>
        </w:rPr>
        <w:t>Core</w:t>
      </w:r>
      <w:proofErr w:type="spellEnd"/>
      <w:r w:rsidRPr="003A11F6">
        <w:rPr>
          <w:rFonts w:ascii="Times New Roman" w:hAnsi="Times New Roman"/>
          <w:sz w:val="24"/>
          <w:szCs w:val="24"/>
        </w:rPr>
        <w:t xml:space="preserve"> </w:t>
      </w:r>
      <w:r>
        <w:rPr>
          <w:rFonts w:ascii="Times New Roman" w:hAnsi="Times New Roman"/>
          <w:sz w:val="24"/>
          <w:szCs w:val="24"/>
        </w:rPr>
        <w:t xml:space="preserve">quality </w:t>
      </w:r>
      <w:r w:rsidRPr="003A11F6">
        <w:rPr>
          <w:rFonts w:ascii="Times New Roman" w:hAnsi="Times New Roman"/>
          <w:sz w:val="24"/>
          <w:szCs w:val="24"/>
        </w:rPr>
        <w:t>for each nucleotide (higher pic fluorescence, bottom graphs)</w:t>
      </w:r>
      <w:r>
        <w:rPr>
          <w:rFonts w:ascii="Times New Roman" w:hAnsi="Times New Roman"/>
          <w:sz w:val="24"/>
          <w:szCs w:val="24"/>
        </w:rPr>
        <w:t>.</w:t>
      </w:r>
    </w:p>
    <w:p w:rsidR="00BD616C" w:rsidRPr="00B32DA8" w:rsidRDefault="00BD616C" w:rsidP="00BD616C">
      <w:pPr>
        <w:spacing w:line="480" w:lineRule="auto"/>
        <w:jc w:val="both"/>
        <w:rPr>
          <w:rFonts w:ascii="Times New Roman" w:hAnsi="Times New Roman"/>
          <w:b/>
          <w:sz w:val="24"/>
          <w:szCs w:val="24"/>
        </w:rPr>
      </w:pPr>
      <w:proofErr w:type="gramStart"/>
      <w:r w:rsidRPr="00B32DA8">
        <w:rPr>
          <w:rFonts w:ascii="Times New Roman" w:hAnsi="Times New Roman"/>
          <w:b/>
          <w:sz w:val="24"/>
          <w:szCs w:val="24"/>
        </w:rPr>
        <w:t>S3</w:t>
      </w:r>
      <w:r w:rsidR="00ED3887">
        <w:rPr>
          <w:rFonts w:ascii="Times New Roman" w:hAnsi="Times New Roman"/>
          <w:b/>
          <w:sz w:val="24"/>
          <w:szCs w:val="24"/>
        </w:rPr>
        <w:t xml:space="preserve"> S4 and S5</w:t>
      </w:r>
      <w:r w:rsidRPr="00B32DA8">
        <w:rPr>
          <w:rFonts w:ascii="Times New Roman" w:hAnsi="Times New Roman"/>
          <w:b/>
          <w:sz w:val="24"/>
          <w:szCs w:val="24"/>
        </w:rPr>
        <w:t xml:space="preserve"> Fig</w:t>
      </w:r>
      <w:r w:rsidR="005120E8">
        <w:rPr>
          <w:rFonts w:ascii="Times New Roman" w:hAnsi="Times New Roman"/>
          <w:b/>
          <w:sz w:val="24"/>
          <w:szCs w:val="24"/>
        </w:rPr>
        <w:t>s</w:t>
      </w:r>
      <w:r w:rsidRPr="00B32DA8">
        <w:rPr>
          <w:rFonts w:ascii="Times New Roman" w:hAnsi="Times New Roman"/>
          <w:b/>
          <w:sz w:val="24"/>
          <w:szCs w:val="24"/>
        </w:rPr>
        <w:t>.</w:t>
      </w:r>
      <w:proofErr w:type="gramEnd"/>
      <w:r w:rsidRPr="00B32DA8">
        <w:rPr>
          <w:rFonts w:ascii="Times New Roman" w:hAnsi="Times New Roman"/>
          <w:b/>
          <w:sz w:val="24"/>
          <w:szCs w:val="24"/>
        </w:rPr>
        <w:t xml:space="preserve"> </w:t>
      </w:r>
      <w:r w:rsidRPr="00B32DA8">
        <w:rPr>
          <w:rFonts w:ascii="Times New Roman" w:hAnsi="Times New Roman"/>
          <w:b/>
          <w:bCs/>
          <w:sz w:val="24"/>
          <w:szCs w:val="24"/>
        </w:rPr>
        <w:t>Clustering results among 50 GT1a ATAHC sequences with genetic distance, percentage of sequences, tree, patristic distance and bootstrap values.</w:t>
      </w:r>
    </w:p>
    <w:p w:rsidR="00BD616C" w:rsidRPr="00B32DA8" w:rsidRDefault="00BD616C" w:rsidP="00BD616C">
      <w:pPr>
        <w:spacing w:line="480" w:lineRule="auto"/>
        <w:jc w:val="both"/>
        <w:rPr>
          <w:rFonts w:ascii="Times New Roman" w:hAnsi="Times New Roman"/>
          <w:b/>
          <w:sz w:val="24"/>
          <w:szCs w:val="24"/>
        </w:rPr>
      </w:pPr>
      <w:r w:rsidRPr="00B32DA8">
        <w:rPr>
          <w:rFonts w:ascii="Times New Roman" w:hAnsi="Times New Roman"/>
          <w:b/>
          <w:sz w:val="24"/>
          <w:szCs w:val="24"/>
        </w:rPr>
        <w:t>S</w:t>
      </w:r>
      <w:r w:rsidR="00ED3887">
        <w:rPr>
          <w:rFonts w:ascii="Times New Roman" w:hAnsi="Times New Roman"/>
          <w:b/>
          <w:sz w:val="24"/>
          <w:szCs w:val="24"/>
        </w:rPr>
        <w:t>6 and S7</w:t>
      </w:r>
      <w:r w:rsidRPr="00B32DA8">
        <w:rPr>
          <w:rFonts w:ascii="Times New Roman" w:hAnsi="Times New Roman"/>
          <w:b/>
          <w:sz w:val="24"/>
          <w:szCs w:val="24"/>
        </w:rPr>
        <w:t xml:space="preserve"> Fig</w:t>
      </w:r>
      <w:r w:rsidR="005120E8">
        <w:rPr>
          <w:rFonts w:ascii="Times New Roman" w:hAnsi="Times New Roman"/>
          <w:b/>
          <w:sz w:val="24"/>
          <w:szCs w:val="24"/>
        </w:rPr>
        <w:t>s</w:t>
      </w:r>
      <w:r w:rsidRPr="00B32DA8">
        <w:rPr>
          <w:rFonts w:ascii="Times New Roman" w:hAnsi="Times New Roman"/>
          <w:b/>
          <w:sz w:val="24"/>
          <w:szCs w:val="24"/>
        </w:rPr>
        <w:t xml:space="preserve">. </w:t>
      </w:r>
      <w:r>
        <w:rPr>
          <w:rFonts w:ascii="Times New Roman" w:hAnsi="Times New Roman"/>
          <w:b/>
          <w:bCs/>
          <w:sz w:val="24"/>
          <w:szCs w:val="24"/>
        </w:rPr>
        <w:t>P</w:t>
      </w:r>
      <w:r w:rsidRPr="00B32DA8">
        <w:rPr>
          <w:rFonts w:ascii="Times New Roman" w:hAnsi="Times New Roman"/>
          <w:b/>
          <w:bCs/>
          <w:sz w:val="24"/>
          <w:szCs w:val="24"/>
        </w:rPr>
        <w:t>atristic distance among 50 GT1a ATAHC sequences</w:t>
      </w:r>
    </w:p>
    <w:p w:rsidR="00BD616C" w:rsidRDefault="00BD616C" w:rsidP="00BD616C">
      <w:pPr>
        <w:spacing w:line="480" w:lineRule="auto"/>
        <w:jc w:val="both"/>
        <w:rPr>
          <w:rFonts w:ascii="Times New Roman" w:hAnsi="Times New Roman"/>
          <w:bCs/>
          <w:sz w:val="24"/>
          <w:szCs w:val="24"/>
        </w:rPr>
      </w:pPr>
      <w:r>
        <w:rPr>
          <w:rFonts w:ascii="Times New Roman" w:hAnsi="Times New Roman"/>
          <w:bCs/>
          <w:sz w:val="24"/>
          <w:szCs w:val="24"/>
        </w:rPr>
        <w:t>Average patristic distances (plain lines) and bootstrap support (dot lines) using PATRISTIC (patristic distance) and Cluster Picker (bootstrap support) with maximum genetic distance threshold varied between 0.01 and 0.08. Colour lines represent ATAHC sequences only and grey lines additional LANL reference sequences.</w:t>
      </w:r>
      <w:r w:rsidRPr="00741DA4">
        <w:rPr>
          <w:rFonts w:ascii="Times New Roman" w:hAnsi="Times New Roman"/>
          <w:bCs/>
          <w:sz w:val="24"/>
          <w:szCs w:val="24"/>
        </w:rPr>
        <w:t xml:space="preserve"> </w:t>
      </w:r>
      <w:r>
        <w:rPr>
          <w:rFonts w:ascii="Times New Roman" w:hAnsi="Times New Roman"/>
          <w:bCs/>
          <w:sz w:val="24"/>
          <w:szCs w:val="24"/>
        </w:rPr>
        <w:t xml:space="preserve">The vertical dot line represents the </w:t>
      </w:r>
      <w:r>
        <w:rPr>
          <w:rFonts w:ascii="Times New Roman" w:hAnsi="Times New Roman"/>
          <w:bCs/>
          <w:sz w:val="24"/>
          <w:szCs w:val="24"/>
        </w:rPr>
        <w:lastRenderedPageBreak/>
        <w:t xml:space="preserve">clustering threshold illustrated in Fig. 5 panel </w:t>
      </w:r>
      <w:proofErr w:type="spellStart"/>
      <w:r>
        <w:rPr>
          <w:rFonts w:ascii="Times New Roman" w:hAnsi="Times New Roman"/>
          <w:bCs/>
          <w:sz w:val="24"/>
          <w:szCs w:val="24"/>
        </w:rPr>
        <w:t>i</w:t>
      </w:r>
      <w:proofErr w:type="spellEnd"/>
      <w:r>
        <w:rPr>
          <w:rFonts w:ascii="Times New Roman" w:hAnsi="Times New Roman"/>
          <w:bCs/>
          <w:sz w:val="24"/>
          <w:szCs w:val="24"/>
        </w:rPr>
        <w:t xml:space="preserve"> and Supplementary Fig. 3 panel </w:t>
      </w:r>
      <w:proofErr w:type="spellStart"/>
      <w:r>
        <w:rPr>
          <w:rFonts w:ascii="Times New Roman" w:hAnsi="Times New Roman"/>
          <w:bCs/>
          <w:sz w:val="24"/>
          <w:szCs w:val="24"/>
        </w:rPr>
        <w:t>i</w:t>
      </w:r>
      <w:proofErr w:type="spellEnd"/>
      <w:r>
        <w:rPr>
          <w:rFonts w:ascii="Times New Roman" w:hAnsi="Times New Roman"/>
          <w:bCs/>
          <w:sz w:val="24"/>
          <w:szCs w:val="24"/>
        </w:rPr>
        <w:t xml:space="preserve"> to determine the average cluster patristic distance and average cluster bootstrap support (Table 1).</w:t>
      </w:r>
    </w:p>
    <w:p w:rsidR="00BD616C" w:rsidRPr="00B32DA8" w:rsidRDefault="00BD616C" w:rsidP="00BD616C">
      <w:pPr>
        <w:spacing w:line="480" w:lineRule="auto"/>
        <w:rPr>
          <w:rFonts w:ascii="Times New Roman" w:hAnsi="Times New Roman"/>
          <w:b/>
          <w:color w:val="7030A0"/>
          <w:sz w:val="24"/>
          <w:szCs w:val="24"/>
        </w:rPr>
      </w:pPr>
      <w:proofErr w:type="gramStart"/>
      <w:r w:rsidRPr="00B32DA8">
        <w:rPr>
          <w:rFonts w:ascii="Times New Roman" w:hAnsi="Times New Roman"/>
          <w:b/>
          <w:sz w:val="24"/>
          <w:szCs w:val="24"/>
        </w:rPr>
        <w:t>S</w:t>
      </w:r>
      <w:r w:rsidR="00ED3887">
        <w:rPr>
          <w:rFonts w:ascii="Times New Roman" w:hAnsi="Times New Roman"/>
          <w:b/>
          <w:sz w:val="24"/>
          <w:szCs w:val="24"/>
        </w:rPr>
        <w:t>8</w:t>
      </w:r>
      <w:r w:rsidRPr="00B32DA8">
        <w:rPr>
          <w:rFonts w:ascii="Times New Roman" w:hAnsi="Times New Roman"/>
          <w:b/>
          <w:sz w:val="24"/>
          <w:szCs w:val="24"/>
        </w:rPr>
        <w:t xml:space="preserve"> Fig.</w:t>
      </w:r>
      <w:proofErr w:type="gramEnd"/>
      <w:r w:rsidRPr="00B32DA8">
        <w:rPr>
          <w:rFonts w:ascii="Times New Roman" w:hAnsi="Times New Roman"/>
          <w:b/>
          <w:sz w:val="24"/>
          <w:szCs w:val="24"/>
        </w:rPr>
        <w:t xml:space="preserve"> Mean genetic distance among HCV regions used for clustering analysis</w:t>
      </w:r>
      <w:r w:rsidRPr="00B32DA8">
        <w:rPr>
          <w:rFonts w:ascii="Times New Roman" w:hAnsi="Times New Roman"/>
          <w:b/>
          <w:color w:val="7030A0"/>
          <w:sz w:val="24"/>
          <w:szCs w:val="24"/>
        </w:rPr>
        <w:t>.</w:t>
      </w:r>
    </w:p>
    <w:p w:rsidR="00BD616C" w:rsidRPr="00B32DA8" w:rsidRDefault="00BD616C" w:rsidP="00BD616C">
      <w:pPr>
        <w:spacing w:line="480" w:lineRule="auto"/>
        <w:rPr>
          <w:rFonts w:ascii="Times New Roman" w:hAnsi="Times New Roman"/>
          <w:b/>
          <w:sz w:val="24"/>
          <w:szCs w:val="24"/>
        </w:rPr>
      </w:pPr>
      <w:proofErr w:type="gramStart"/>
      <w:r w:rsidRPr="00B32DA8">
        <w:rPr>
          <w:rFonts w:ascii="Times New Roman" w:hAnsi="Times New Roman"/>
          <w:b/>
          <w:sz w:val="24"/>
          <w:szCs w:val="24"/>
        </w:rPr>
        <w:t>S</w:t>
      </w:r>
      <w:r w:rsidR="00ED3887">
        <w:rPr>
          <w:rFonts w:ascii="Times New Roman" w:hAnsi="Times New Roman"/>
          <w:b/>
          <w:sz w:val="24"/>
          <w:szCs w:val="24"/>
        </w:rPr>
        <w:t>9</w:t>
      </w:r>
      <w:r w:rsidRPr="00B32DA8">
        <w:rPr>
          <w:rFonts w:ascii="Times New Roman" w:hAnsi="Times New Roman"/>
          <w:b/>
          <w:sz w:val="24"/>
          <w:szCs w:val="24"/>
        </w:rPr>
        <w:t xml:space="preserve"> Fig.</w:t>
      </w:r>
      <w:proofErr w:type="gramEnd"/>
      <w:r w:rsidRPr="00B32DA8">
        <w:rPr>
          <w:rFonts w:ascii="Times New Roman" w:hAnsi="Times New Roman"/>
          <w:b/>
          <w:sz w:val="24"/>
          <w:szCs w:val="24"/>
        </w:rPr>
        <w:t xml:space="preserve"> </w:t>
      </w:r>
      <w:proofErr w:type="gramStart"/>
      <w:r w:rsidRPr="00B32DA8">
        <w:rPr>
          <w:rFonts w:ascii="Times New Roman" w:hAnsi="Times New Roman"/>
          <w:b/>
          <w:sz w:val="24"/>
          <w:szCs w:val="24"/>
        </w:rPr>
        <w:t>Weighted Robinson-</w:t>
      </w:r>
      <w:proofErr w:type="spellStart"/>
      <w:r w:rsidRPr="00B32DA8">
        <w:rPr>
          <w:rFonts w:ascii="Times New Roman" w:hAnsi="Times New Roman"/>
          <w:b/>
          <w:sz w:val="24"/>
          <w:szCs w:val="24"/>
        </w:rPr>
        <w:t>Foulds</w:t>
      </w:r>
      <w:proofErr w:type="spellEnd"/>
      <w:r w:rsidRPr="00B32DA8">
        <w:rPr>
          <w:rFonts w:ascii="Times New Roman" w:hAnsi="Times New Roman"/>
          <w:b/>
          <w:sz w:val="24"/>
          <w:szCs w:val="24"/>
        </w:rPr>
        <w:t xml:space="preserve"> tree distances among HCV regions compared to the Core-E2_NS5B tree versus length of HCV sequences used in this study.</w:t>
      </w:r>
      <w:proofErr w:type="gramEnd"/>
    </w:p>
    <w:p w:rsidR="00BD616C" w:rsidRPr="00B32DA8" w:rsidRDefault="00BD616C" w:rsidP="00BD616C">
      <w:pPr>
        <w:spacing w:line="480" w:lineRule="auto"/>
        <w:jc w:val="both"/>
        <w:rPr>
          <w:rFonts w:ascii="Times New Roman" w:hAnsi="Times New Roman"/>
          <w:b/>
          <w:sz w:val="24"/>
          <w:szCs w:val="24"/>
        </w:rPr>
      </w:pPr>
      <w:proofErr w:type="gramStart"/>
      <w:r w:rsidRPr="00B32DA8">
        <w:rPr>
          <w:rFonts w:ascii="Times New Roman" w:hAnsi="Times New Roman"/>
          <w:b/>
          <w:sz w:val="24"/>
          <w:szCs w:val="24"/>
        </w:rPr>
        <w:t>S1 Tab</w:t>
      </w:r>
      <w:r>
        <w:rPr>
          <w:rFonts w:ascii="Times New Roman" w:hAnsi="Times New Roman"/>
          <w:b/>
          <w:sz w:val="24"/>
          <w:szCs w:val="24"/>
        </w:rPr>
        <w:t>le</w:t>
      </w:r>
      <w:r w:rsidRPr="00B32DA8">
        <w:rPr>
          <w:rFonts w:ascii="Times New Roman" w:hAnsi="Times New Roman"/>
          <w:b/>
          <w:sz w:val="24"/>
          <w:szCs w:val="24"/>
        </w:rPr>
        <w:t>.</w:t>
      </w:r>
      <w:proofErr w:type="gramEnd"/>
      <w:r w:rsidRPr="00B32DA8">
        <w:rPr>
          <w:rFonts w:ascii="Times New Roman" w:hAnsi="Times New Roman"/>
          <w:b/>
          <w:sz w:val="24"/>
          <w:szCs w:val="24"/>
        </w:rPr>
        <w:t xml:space="preserve"> Primers used for the amplification of HCV region C</w:t>
      </w:r>
      <w:r>
        <w:rPr>
          <w:rFonts w:ascii="Times New Roman" w:hAnsi="Times New Roman"/>
          <w:b/>
          <w:sz w:val="24"/>
          <w:szCs w:val="24"/>
        </w:rPr>
        <w:t>ore</w:t>
      </w:r>
      <w:r w:rsidRPr="00B32DA8">
        <w:rPr>
          <w:rFonts w:ascii="Times New Roman" w:hAnsi="Times New Roman"/>
          <w:b/>
          <w:sz w:val="24"/>
          <w:szCs w:val="24"/>
        </w:rPr>
        <w:t>-HVR1 and NS5B.</w:t>
      </w:r>
    </w:p>
    <w:p w:rsidR="00BD616C" w:rsidRPr="00CB2F69" w:rsidRDefault="00BD616C" w:rsidP="00BD616C">
      <w:pPr>
        <w:spacing w:line="480" w:lineRule="auto"/>
        <w:rPr>
          <w:rFonts w:ascii="Times New Roman" w:hAnsi="Times New Roman"/>
          <w:b/>
          <w:i/>
          <w:sz w:val="24"/>
          <w:szCs w:val="24"/>
        </w:rPr>
      </w:pPr>
      <w:r>
        <w:rPr>
          <w:rFonts w:ascii="Times New Roman" w:hAnsi="Times New Roman"/>
          <w:sz w:val="24"/>
          <w:szCs w:val="24"/>
        </w:rPr>
        <w:t>The forward primers were designed using 280 sequences (116 1a, 105 1b, 19 2a, 21 3a and 19 6a) from the 5’UTR region to middle of E1 (H77 location 100 to 1200bp) with a focus on the conserved region of 5’UTR and early Core. The reverse primers have been designed using 1772 sequences (697 1a, 465 1b, 3 1c, 20 2a, 27 2b, 1 2c, 1 2i, 1 2k, 1217 3a, 1 3b, 1 3k, 14 4a, 1 5a, 15 6a, 1 6b, 2 6d, 3 6f and 2 6q) from the E2 gene (H77 location 1491 to 2580bp).</w:t>
      </w:r>
    </w:p>
    <w:p w:rsidR="00BD616C" w:rsidRPr="00BE6E55" w:rsidRDefault="00BD616C" w:rsidP="00BD616C">
      <w:pPr>
        <w:pStyle w:val="Heading2"/>
      </w:pPr>
      <w:r>
        <w:t>Supplementary material</w:t>
      </w:r>
    </w:p>
    <w:p w:rsidR="00BD616C" w:rsidRPr="00321265" w:rsidRDefault="00BD616C" w:rsidP="00BD616C">
      <w:pPr>
        <w:pStyle w:val="Heading3"/>
        <w:rPr>
          <w:rFonts w:ascii="Times New Roman" w:hAnsi="Times New Roman" w:cs="Times New Roman"/>
        </w:rPr>
      </w:pPr>
      <w:r w:rsidRPr="00321265">
        <w:rPr>
          <w:rFonts w:ascii="Times New Roman" w:hAnsi="Times New Roman" w:cs="Times New Roman"/>
        </w:rPr>
        <w:t xml:space="preserve">Core-E2 assay development and characterisation. </w:t>
      </w:r>
    </w:p>
    <w:p w:rsidR="00BD616C" w:rsidRDefault="00BD616C" w:rsidP="00BD616C">
      <w:pPr>
        <w:spacing w:line="480" w:lineRule="auto"/>
        <w:rPr>
          <w:rFonts w:ascii="Times New Roman" w:hAnsi="Times New Roman"/>
          <w:sz w:val="24"/>
          <w:szCs w:val="24"/>
        </w:rPr>
      </w:pPr>
      <w:r w:rsidRPr="009A6B51">
        <w:rPr>
          <w:rFonts w:ascii="Times New Roman" w:hAnsi="Times New Roman"/>
          <w:sz w:val="24"/>
          <w:szCs w:val="24"/>
        </w:rPr>
        <w:t xml:space="preserve">To improve the </w:t>
      </w:r>
      <w:r>
        <w:rPr>
          <w:rFonts w:ascii="Times New Roman" w:hAnsi="Times New Roman"/>
          <w:sz w:val="24"/>
          <w:szCs w:val="24"/>
        </w:rPr>
        <w:t>efficiency</w:t>
      </w:r>
      <w:r w:rsidRPr="009A6B51">
        <w:rPr>
          <w:rFonts w:ascii="Times New Roman" w:hAnsi="Times New Roman"/>
          <w:sz w:val="24"/>
          <w:szCs w:val="24"/>
        </w:rPr>
        <w:t xml:space="preserve"> of the transcription and amplification of HCV, </w:t>
      </w:r>
      <w:proofErr w:type="spellStart"/>
      <w:r w:rsidRPr="009A6B51">
        <w:rPr>
          <w:rFonts w:ascii="Times New Roman" w:hAnsi="Times New Roman"/>
          <w:sz w:val="24"/>
          <w:szCs w:val="24"/>
        </w:rPr>
        <w:t>Polymate</w:t>
      </w:r>
      <w:proofErr w:type="spellEnd"/>
      <w:r w:rsidRPr="009A6B51">
        <w:rPr>
          <w:rFonts w:ascii="Times New Roman" w:hAnsi="Times New Roman"/>
          <w:sz w:val="24"/>
          <w:szCs w:val="24"/>
        </w:rPr>
        <w:t xml:space="preserve"> and </w:t>
      </w:r>
      <w:r>
        <w:rPr>
          <w:rFonts w:ascii="Times New Roman" w:hAnsi="Times New Roman"/>
          <w:sz w:val="24"/>
          <w:szCs w:val="24"/>
        </w:rPr>
        <w:t xml:space="preserve">a range of </w:t>
      </w:r>
      <w:r w:rsidRPr="009A6B51">
        <w:rPr>
          <w:rFonts w:ascii="Times New Roman" w:hAnsi="Times New Roman"/>
          <w:sz w:val="24"/>
          <w:szCs w:val="24"/>
        </w:rPr>
        <w:t xml:space="preserve">conditions </w:t>
      </w:r>
      <w:r>
        <w:rPr>
          <w:rFonts w:ascii="Times New Roman" w:hAnsi="Times New Roman"/>
          <w:sz w:val="24"/>
          <w:szCs w:val="24"/>
        </w:rPr>
        <w:t>were</w:t>
      </w:r>
      <w:r w:rsidRPr="009A6B51">
        <w:rPr>
          <w:rFonts w:ascii="Times New Roman" w:hAnsi="Times New Roman"/>
          <w:sz w:val="24"/>
          <w:szCs w:val="24"/>
        </w:rPr>
        <w:t xml:space="preserve"> evaluated for this protocol (</w:t>
      </w:r>
      <w:r w:rsidR="00ED3887">
        <w:rPr>
          <w:rFonts w:ascii="Times New Roman" w:hAnsi="Times New Roman"/>
          <w:sz w:val="24"/>
          <w:szCs w:val="24"/>
        </w:rPr>
        <w:t>Figure A in</w:t>
      </w:r>
      <w:r>
        <w:rPr>
          <w:rFonts w:ascii="Times New Roman" w:hAnsi="Times New Roman"/>
          <w:sz w:val="24"/>
          <w:szCs w:val="24"/>
        </w:rPr>
        <w:t xml:space="preserve"> </w:t>
      </w:r>
      <w:r w:rsidR="00ED3887">
        <w:rPr>
          <w:rFonts w:ascii="Times New Roman" w:hAnsi="Times New Roman"/>
          <w:sz w:val="24"/>
          <w:szCs w:val="24"/>
        </w:rPr>
        <w:t xml:space="preserve">S1 </w:t>
      </w:r>
      <w:r>
        <w:rPr>
          <w:rFonts w:ascii="Times New Roman" w:hAnsi="Times New Roman"/>
          <w:sz w:val="24"/>
          <w:szCs w:val="24"/>
        </w:rPr>
        <w:t>Fig.</w:t>
      </w:r>
      <w:r w:rsidRPr="009A6B51">
        <w:rPr>
          <w:rFonts w:ascii="Times New Roman" w:hAnsi="Times New Roman"/>
          <w:sz w:val="24"/>
          <w:szCs w:val="24"/>
        </w:rPr>
        <w:t xml:space="preserve">). </w:t>
      </w:r>
      <w:r>
        <w:rPr>
          <w:rFonts w:ascii="Times New Roman" w:hAnsi="Times New Roman"/>
          <w:sz w:val="24"/>
          <w:szCs w:val="24"/>
        </w:rPr>
        <w:t xml:space="preserve">Among the conditions </w:t>
      </w:r>
      <w:r w:rsidRPr="009A6B51">
        <w:rPr>
          <w:rFonts w:ascii="Times New Roman" w:hAnsi="Times New Roman"/>
          <w:sz w:val="24"/>
          <w:szCs w:val="24"/>
        </w:rPr>
        <w:t>assessed</w:t>
      </w:r>
      <w:r>
        <w:rPr>
          <w:rFonts w:ascii="Times New Roman" w:hAnsi="Times New Roman"/>
          <w:sz w:val="24"/>
          <w:szCs w:val="24"/>
        </w:rPr>
        <w:t>, including</w:t>
      </w:r>
      <w:r w:rsidRPr="009A6B51">
        <w:rPr>
          <w:rFonts w:ascii="Times New Roman" w:hAnsi="Times New Roman"/>
          <w:sz w:val="24"/>
          <w:szCs w:val="24"/>
        </w:rPr>
        <w:t xml:space="preserve"> </w:t>
      </w:r>
      <w:r>
        <w:rPr>
          <w:rFonts w:ascii="Times New Roman" w:hAnsi="Times New Roman"/>
          <w:sz w:val="24"/>
          <w:szCs w:val="24"/>
        </w:rPr>
        <w:t>magnesium titrations,</w:t>
      </w:r>
      <w:r w:rsidRPr="009A6B51">
        <w:rPr>
          <w:rFonts w:ascii="Times New Roman" w:hAnsi="Times New Roman"/>
          <w:sz w:val="24"/>
          <w:szCs w:val="24"/>
        </w:rPr>
        <w:t xml:space="preserve"> temperature gradient and “touch-down” </w:t>
      </w:r>
      <w:r>
        <w:rPr>
          <w:rFonts w:ascii="Times New Roman" w:hAnsi="Times New Roman"/>
          <w:sz w:val="24"/>
          <w:szCs w:val="24"/>
        </w:rPr>
        <w:t xml:space="preserve">and </w:t>
      </w:r>
      <w:proofErr w:type="spellStart"/>
      <w:r>
        <w:rPr>
          <w:rFonts w:ascii="Times New Roman" w:hAnsi="Times New Roman"/>
          <w:sz w:val="24"/>
          <w:szCs w:val="24"/>
        </w:rPr>
        <w:t>PCRx</w:t>
      </w:r>
      <w:proofErr w:type="spellEnd"/>
      <w:r>
        <w:rPr>
          <w:rFonts w:ascii="Times New Roman" w:hAnsi="Times New Roman"/>
          <w:sz w:val="24"/>
          <w:szCs w:val="24"/>
        </w:rPr>
        <w:t xml:space="preserve"> enhancers, the use of </w:t>
      </w:r>
      <w:proofErr w:type="spellStart"/>
      <w:r w:rsidRPr="003A11F6">
        <w:rPr>
          <w:rFonts w:ascii="Times New Roman" w:hAnsi="Times New Roman"/>
          <w:sz w:val="24"/>
          <w:szCs w:val="24"/>
        </w:rPr>
        <w:t>Polymate</w:t>
      </w:r>
      <w:proofErr w:type="spellEnd"/>
      <w:r w:rsidRPr="003A11F6">
        <w:rPr>
          <w:rFonts w:ascii="Times New Roman" w:hAnsi="Times New Roman"/>
          <w:sz w:val="24"/>
          <w:szCs w:val="24"/>
        </w:rPr>
        <w:t xml:space="preserve"> </w:t>
      </w:r>
      <w:r>
        <w:rPr>
          <w:rFonts w:ascii="Times New Roman" w:hAnsi="Times New Roman"/>
          <w:sz w:val="24"/>
          <w:szCs w:val="24"/>
        </w:rPr>
        <w:t xml:space="preserve">during </w:t>
      </w:r>
      <w:r w:rsidRPr="003A11F6">
        <w:rPr>
          <w:rFonts w:ascii="Times New Roman" w:hAnsi="Times New Roman"/>
          <w:sz w:val="24"/>
          <w:szCs w:val="24"/>
        </w:rPr>
        <w:t xml:space="preserve">the Reverse transcriptase at a temperature of 60ºC </w:t>
      </w:r>
      <w:r>
        <w:rPr>
          <w:rFonts w:ascii="Times New Roman" w:hAnsi="Times New Roman"/>
          <w:sz w:val="24"/>
          <w:szCs w:val="24"/>
        </w:rPr>
        <w:t>was</w:t>
      </w:r>
      <w:r w:rsidRPr="003A11F6">
        <w:rPr>
          <w:rFonts w:ascii="Times New Roman" w:hAnsi="Times New Roman"/>
          <w:sz w:val="24"/>
          <w:szCs w:val="24"/>
        </w:rPr>
        <w:t xml:space="preserve"> critical for successful subsequent amplification of the </w:t>
      </w:r>
      <w:r>
        <w:rPr>
          <w:rFonts w:ascii="Times New Roman" w:hAnsi="Times New Roman"/>
          <w:sz w:val="24"/>
          <w:szCs w:val="24"/>
        </w:rPr>
        <w:t xml:space="preserve">Core-E2 </w:t>
      </w:r>
      <w:r w:rsidRPr="003A11F6">
        <w:rPr>
          <w:rFonts w:ascii="Times New Roman" w:hAnsi="Times New Roman"/>
          <w:sz w:val="24"/>
          <w:szCs w:val="24"/>
        </w:rPr>
        <w:t>amplicon of most HCV genotypes</w:t>
      </w:r>
      <w:r>
        <w:rPr>
          <w:rFonts w:ascii="Times New Roman" w:hAnsi="Times New Roman"/>
          <w:sz w:val="24"/>
          <w:szCs w:val="24"/>
        </w:rPr>
        <w:t xml:space="preserve"> for both regions</w:t>
      </w:r>
      <w:r w:rsidRPr="003A11F6">
        <w:rPr>
          <w:rFonts w:ascii="Times New Roman" w:hAnsi="Times New Roman"/>
          <w:sz w:val="24"/>
          <w:szCs w:val="24"/>
        </w:rPr>
        <w:t>.</w:t>
      </w:r>
      <w:r>
        <w:rPr>
          <w:rFonts w:ascii="Times New Roman" w:hAnsi="Times New Roman"/>
          <w:sz w:val="24"/>
          <w:szCs w:val="24"/>
        </w:rPr>
        <w:t xml:space="preserve"> The l</w:t>
      </w:r>
      <w:r w:rsidRPr="003A11F6">
        <w:rPr>
          <w:rFonts w:ascii="Times New Roman" w:hAnsi="Times New Roman"/>
          <w:sz w:val="24"/>
          <w:szCs w:val="24"/>
        </w:rPr>
        <w:t>imit</w:t>
      </w:r>
      <w:r>
        <w:rPr>
          <w:rFonts w:ascii="Times New Roman" w:hAnsi="Times New Roman"/>
          <w:sz w:val="24"/>
          <w:szCs w:val="24"/>
        </w:rPr>
        <w:t>s</w:t>
      </w:r>
      <w:r w:rsidRPr="003A11F6">
        <w:rPr>
          <w:rFonts w:ascii="Times New Roman" w:hAnsi="Times New Roman"/>
          <w:sz w:val="24"/>
          <w:szCs w:val="24"/>
        </w:rPr>
        <w:t xml:space="preserve"> of detection </w:t>
      </w:r>
      <w:r>
        <w:rPr>
          <w:rFonts w:ascii="Times New Roman" w:hAnsi="Times New Roman"/>
          <w:sz w:val="24"/>
          <w:szCs w:val="24"/>
        </w:rPr>
        <w:t>of the Core-E2</w:t>
      </w:r>
      <w:r w:rsidRPr="003A11F6">
        <w:rPr>
          <w:rFonts w:ascii="Times New Roman" w:hAnsi="Times New Roman"/>
          <w:sz w:val="24"/>
          <w:szCs w:val="24"/>
        </w:rPr>
        <w:t xml:space="preserve"> and NS5B </w:t>
      </w:r>
      <w:r>
        <w:rPr>
          <w:rFonts w:ascii="Times New Roman" w:hAnsi="Times New Roman"/>
          <w:sz w:val="24"/>
          <w:szCs w:val="24"/>
        </w:rPr>
        <w:t>were 1000IU/mL and 3000IU/mL respectively (</w:t>
      </w:r>
      <w:r w:rsidR="00ED3887">
        <w:rPr>
          <w:rFonts w:ascii="Times New Roman" w:hAnsi="Times New Roman"/>
          <w:sz w:val="24"/>
          <w:szCs w:val="24"/>
        </w:rPr>
        <w:t xml:space="preserve">Figure B in </w:t>
      </w:r>
      <w:r>
        <w:rPr>
          <w:rFonts w:ascii="Times New Roman" w:hAnsi="Times New Roman"/>
          <w:sz w:val="24"/>
          <w:szCs w:val="24"/>
        </w:rPr>
        <w:t>S</w:t>
      </w:r>
      <w:r w:rsidR="00ED3887">
        <w:rPr>
          <w:rFonts w:ascii="Times New Roman" w:hAnsi="Times New Roman"/>
          <w:sz w:val="24"/>
          <w:szCs w:val="24"/>
        </w:rPr>
        <w:t>1 Fig.</w:t>
      </w:r>
      <w:r>
        <w:rPr>
          <w:rFonts w:ascii="Times New Roman" w:hAnsi="Times New Roman"/>
          <w:sz w:val="24"/>
          <w:szCs w:val="24"/>
        </w:rPr>
        <w:t>)</w:t>
      </w:r>
      <w:r w:rsidR="00ED3887">
        <w:rPr>
          <w:rFonts w:ascii="Times New Roman" w:hAnsi="Times New Roman"/>
          <w:sz w:val="24"/>
          <w:szCs w:val="24"/>
        </w:rPr>
        <w:t>.</w:t>
      </w:r>
    </w:p>
    <w:p w:rsidR="00BD616C" w:rsidRDefault="00BD616C" w:rsidP="00BD616C">
      <w:pPr>
        <w:spacing w:line="480" w:lineRule="auto"/>
        <w:rPr>
          <w:rFonts w:ascii="Times New Roman" w:hAnsi="Times New Roman"/>
          <w:b/>
          <w:i/>
          <w:sz w:val="24"/>
          <w:szCs w:val="24"/>
        </w:rPr>
      </w:pPr>
    </w:p>
    <w:p w:rsidR="00BD616C" w:rsidRPr="00321265" w:rsidRDefault="00BD616C" w:rsidP="00BD616C">
      <w:pPr>
        <w:pStyle w:val="Heading3"/>
        <w:rPr>
          <w:rFonts w:ascii="Times New Roman" w:hAnsi="Times New Roman" w:cs="Times New Roman"/>
        </w:rPr>
      </w:pPr>
      <w:r w:rsidRPr="00321265">
        <w:rPr>
          <w:rFonts w:ascii="Times New Roman" w:hAnsi="Times New Roman" w:cs="Times New Roman"/>
        </w:rPr>
        <w:lastRenderedPageBreak/>
        <w:t xml:space="preserve">Design and development of Core-HVR1 </w:t>
      </w:r>
    </w:p>
    <w:p w:rsidR="00BD616C" w:rsidRPr="003A11F6" w:rsidRDefault="00BD616C" w:rsidP="00BD616C">
      <w:pPr>
        <w:spacing w:line="480" w:lineRule="auto"/>
        <w:rPr>
          <w:rFonts w:ascii="Times New Roman" w:hAnsi="Times New Roman"/>
          <w:sz w:val="24"/>
          <w:szCs w:val="24"/>
        </w:rPr>
      </w:pPr>
      <w:r>
        <w:rPr>
          <w:rFonts w:ascii="Times New Roman" w:hAnsi="Times New Roman"/>
          <w:sz w:val="24"/>
          <w:szCs w:val="24"/>
        </w:rPr>
        <w:t xml:space="preserve">Forward primers for the amplification of were designed in-house using HCV sequences from LANL. The forward primers for the Core-E2 were designed using 280 sequences (116 1a, 105 1b, 19 2a, 21 3a and 19 6a) from the 5’UTR region to middle of E1 (H77 location 100 to 1200bp) with a focus on the conserved region of 5’UTR and early Core. The reverse primers have been designed using 1772 sequences (697 1a, 465 1b, 3 1c, 20 2a, 27 2b, 1 2c, 1 2i, 1 2k, 1217 3a, 1 3b, 1 3k, 14 4a, 1 5a, 15 6a, 1 6b, 2 6d, 3 6f and 2 6q) from the E2 gene (H77 location 1491 to 2580bp). Three pairs of primers were designed with forward primers located in the 5’UTR region with H77 HCV location at 39 to 63bp, 134 to 155bp and 278 to 299bp. Reverse primers contained between 4 and 5 degenerative bases to be able to identify most genotypes sequences with their location in E2: 1791 to 1810bp, 1987 to 2008bp and 2418 to 2437bp. After reverse transcription of the viral RNA with the </w:t>
      </w:r>
      <w:proofErr w:type="spellStart"/>
      <w:r>
        <w:rPr>
          <w:rFonts w:ascii="Times New Roman" w:hAnsi="Times New Roman"/>
          <w:sz w:val="24"/>
          <w:szCs w:val="24"/>
        </w:rPr>
        <w:t>Vilo</w:t>
      </w:r>
      <w:proofErr w:type="spellEnd"/>
      <w:r>
        <w:rPr>
          <w:rFonts w:ascii="Times New Roman" w:hAnsi="Times New Roman"/>
          <w:sz w:val="24"/>
          <w:szCs w:val="24"/>
        </w:rPr>
        <w:t xml:space="preserve"> system and random hexamers at 42°C for one hour, amplification was performed by nested PCR using Platinum </w:t>
      </w:r>
      <w:proofErr w:type="spellStart"/>
      <w:r>
        <w:rPr>
          <w:rFonts w:ascii="Times New Roman" w:hAnsi="Times New Roman"/>
          <w:sz w:val="24"/>
          <w:szCs w:val="24"/>
        </w:rPr>
        <w:t>Taq</w:t>
      </w:r>
      <w:proofErr w:type="spellEnd"/>
      <w:r>
        <w:rPr>
          <w:rFonts w:ascii="Times New Roman" w:hAnsi="Times New Roman"/>
          <w:sz w:val="24"/>
          <w:szCs w:val="24"/>
        </w:rPr>
        <w:t xml:space="preserve"> DNA Polymerase (Life Technologies) hot-start enzyme with a final magnesium chloride concentration of 1.5mM. Several ex-diagnostic plasma samples with high viral load from different HCV genotypes were used and only a single Gt1a was amplified with the 2 pairs of primers listed in the table 1 (data not shown). </w:t>
      </w:r>
      <w:r w:rsidRPr="009A6B51">
        <w:rPr>
          <w:rFonts w:ascii="Times New Roman" w:hAnsi="Times New Roman"/>
          <w:sz w:val="24"/>
          <w:szCs w:val="24"/>
        </w:rPr>
        <w:t xml:space="preserve">To improve the success of the transcription and amplification of HCV, </w:t>
      </w:r>
      <w:proofErr w:type="spellStart"/>
      <w:r w:rsidRPr="009A6B51">
        <w:rPr>
          <w:rFonts w:ascii="Times New Roman" w:hAnsi="Times New Roman"/>
          <w:sz w:val="24"/>
          <w:szCs w:val="24"/>
        </w:rPr>
        <w:t>Polymate</w:t>
      </w:r>
      <w:proofErr w:type="spellEnd"/>
      <w:r w:rsidRPr="009A6B51">
        <w:rPr>
          <w:rFonts w:ascii="Times New Roman" w:hAnsi="Times New Roman"/>
          <w:sz w:val="24"/>
          <w:szCs w:val="24"/>
        </w:rPr>
        <w:t xml:space="preserve"> and conditions </w:t>
      </w:r>
      <w:r>
        <w:rPr>
          <w:rFonts w:ascii="Times New Roman" w:hAnsi="Times New Roman"/>
          <w:sz w:val="24"/>
          <w:szCs w:val="24"/>
        </w:rPr>
        <w:t>were</w:t>
      </w:r>
      <w:r w:rsidRPr="009A6B51">
        <w:rPr>
          <w:rFonts w:ascii="Times New Roman" w:hAnsi="Times New Roman"/>
          <w:sz w:val="24"/>
          <w:szCs w:val="24"/>
        </w:rPr>
        <w:t xml:space="preserve"> evaluated for this protocol (</w:t>
      </w:r>
      <w:r>
        <w:rPr>
          <w:rFonts w:ascii="Times New Roman" w:hAnsi="Times New Roman"/>
          <w:sz w:val="24"/>
          <w:szCs w:val="24"/>
        </w:rPr>
        <w:t>Fig.</w:t>
      </w:r>
      <w:r w:rsidRPr="009A6B51">
        <w:rPr>
          <w:rFonts w:ascii="Times New Roman" w:hAnsi="Times New Roman"/>
          <w:sz w:val="24"/>
          <w:szCs w:val="24"/>
        </w:rPr>
        <w:t xml:space="preserve"> </w:t>
      </w:r>
      <w:r>
        <w:rPr>
          <w:rFonts w:ascii="Times New Roman" w:hAnsi="Times New Roman"/>
          <w:sz w:val="24"/>
          <w:szCs w:val="24"/>
        </w:rPr>
        <w:t>1A</w:t>
      </w:r>
      <w:r w:rsidRPr="009A6B51">
        <w:rPr>
          <w:rFonts w:ascii="Times New Roman" w:hAnsi="Times New Roman"/>
          <w:sz w:val="24"/>
          <w:szCs w:val="24"/>
        </w:rPr>
        <w:t xml:space="preserve">). Other conditions </w:t>
      </w:r>
      <w:r>
        <w:rPr>
          <w:rFonts w:ascii="Times New Roman" w:hAnsi="Times New Roman"/>
          <w:sz w:val="24"/>
          <w:szCs w:val="24"/>
        </w:rPr>
        <w:t>were</w:t>
      </w:r>
      <w:r w:rsidRPr="009A6B51">
        <w:rPr>
          <w:rFonts w:ascii="Times New Roman" w:hAnsi="Times New Roman"/>
          <w:sz w:val="24"/>
          <w:szCs w:val="24"/>
        </w:rPr>
        <w:t xml:space="preserve"> assessed such as magnesium, temperature gradient and “touch-down” for PCR and other additive such as </w:t>
      </w:r>
      <w:proofErr w:type="spellStart"/>
      <w:r w:rsidRPr="009A6B51">
        <w:rPr>
          <w:rFonts w:ascii="Times New Roman" w:hAnsi="Times New Roman"/>
          <w:sz w:val="24"/>
          <w:szCs w:val="24"/>
        </w:rPr>
        <w:t>PCRx</w:t>
      </w:r>
      <w:proofErr w:type="spellEnd"/>
      <w:r w:rsidRPr="009A6B51">
        <w:rPr>
          <w:rFonts w:ascii="Times New Roman" w:hAnsi="Times New Roman"/>
          <w:sz w:val="24"/>
          <w:szCs w:val="24"/>
        </w:rPr>
        <w:t xml:space="preserve"> enhancer system from Invitrogen.</w:t>
      </w:r>
      <w:r>
        <w:rPr>
          <w:rFonts w:ascii="Times New Roman" w:hAnsi="Times New Roman"/>
          <w:sz w:val="24"/>
          <w:szCs w:val="24"/>
        </w:rPr>
        <w:t xml:space="preserve"> As shown in </w:t>
      </w:r>
      <w:r w:rsidR="00ED3887">
        <w:rPr>
          <w:rFonts w:ascii="Times New Roman" w:hAnsi="Times New Roman"/>
          <w:sz w:val="24"/>
          <w:szCs w:val="24"/>
        </w:rPr>
        <w:t xml:space="preserve">figure </w:t>
      </w:r>
      <w:proofErr w:type="gramStart"/>
      <w:r w:rsidR="00ED3887">
        <w:rPr>
          <w:rFonts w:ascii="Times New Roman" w:hAnsi="Times New Roman"/>
          <w:sz w:val="24"/>
          <w:szCs w:val="24"/>
        </w:rPr>
        <w:t>A</w:t>
      </w:r>
      <w:proofErr w:type="gramEnd"/>
      <w:r w:rsidR="00ED3887">
        <w:rPr>
          <w:rFonts w:ascii="Times New Roman" w:hAnsi="Times New Roman"/>
          <w:sz w:val="24"/>
          <w:szCs w:val="24"/>
        </w:rPr>
        <w:t xml:space="preserve"> in</w:t>
      </w:r>
      <w:r>
        <w:rPr>
          <w:rFonts w:ascii="Times New Roman" w:hAnsi="Times New Roman"/>
          <w:sz w:val="24"/>
          <w:szCs w:val="24"/>
        </w:rPr>
        <w:t xml:space="preserve"> </w:t>
      </w:r>
      <w:r w:rsidR="00ED3887">
        <w:rPr>
          <w:rFonts w:ascii="Times New Roman" w:hAnsi="Times New Roman"/>
          <w:sz w:val="24"/>
          <w:szCs w:val="24"/>
        </w:rPr>
        <w:t>S1 Fig.</w:t>
      </w:r>
      <w:r>
        <w:rPr>
          <w:rFonts w:ascii="Times New Roman" w:hAnsi="Times New Roman"/>
          <w:sz w:val="24"/>
          <w:szCs w:val="24"/>
        </w:rPr>
        <w:t>, v</w:t>
      </w:r>
      <w:r w:rsidRPr="003A11F6">
        <w:rPr>
          <w:rFonts w:ascii="Times New Roman" w:hAnsi="Times New Roman"/>
          <w:sz w:val="24"/>
          <w:szCs w:val="24"/>
        </w:rPr>
        <w:t xml:space="preserve">iral RNA </w:t>
      </w:r>
      <w:r>
        <w:rPr>
          <w:rFonts w:ascii="Times New Roman" w:hAnsi="Times New Roman"/>
          <w:sz w:val="24"/>
          <w:szCs w:val="24"/>
        </w:rPr>
        <w:t>was</w:t>
      </w:r>
      <w:r w:rsidRPr="003A11F6">
        <w:rPr>
          <w:rFonts w:ascii="Times New Roman" w:hAnsi="Times New Roman"/>
          <w:sz w:val="24"/>
          <w:szCs w:val="24"/>
        </w:rPr>
        <w:t xml:space="preserve"> reverse transcribed (RT) with the VILO system (Invitrogen) and PCR additive </w:t>
      </w:r>
      <w:proofErr w:type="spellStart"/>
      <w:r w:rsidRPr="003A11F6">
        <w:rPr>
          <w:rFonts w:ascii="Times New Roman" w:hAnsi="Times New Roman"/>
          <w:sz w:val="24"/>
          <w:szCs w:val="24"/>
        </w:rPr>
        <w:t>PolyMate</w:t>
      </w:r>
      <w:proofErr w:type="spellEnd"/>
      <w:r w:rsidRPr="003A11F6">
        <w:rPr>
          <w:rFonts w:ascii="Times New Roman" w:hAnsi="Times New Roman"/>
          <w:sz w:val="24"/>
          <w:szCs w:val="24"/>
        </w:rPr>
        <w:t xml:space="preserve"> (</w:t>
      </w:r>
      <w:proofErr w:type="spellStart"/>
      <w:r w:rsidRPr="003A11F6">
        <w:rPr>
          <w:rFonts w:ascii="Times New Roman" w:hAnsi="Times New Roman"/>
          <w:sz w:val="24"/>
          <w:szCs w:val="24"/>
        </w:rPr>
        <w:t>Bioline</w:t>
      </w:r>
      <w:proofErr w:type="spellEnd"/>
      <w:r w:rsidRPr="003A11F6">
        <w:rPr>
          <w:rFonts w:ascii="Times New Roman" w:hAnsi="Times New Roman"/>
          <w:sz w:val="24"/>
          <w:szCs w:val="24"/>
        </w:rPr>
        <w:t xml:space="preserve">) for one hour at three different temperatures: 42°C, 50°C and 60°C. The RT at 60°C with </w:t>
      </w:r>
      <w:proofErr w:type="spellStart"/>
      <w:r>
        <w:rPr>
          <w:rFonts w:ascii="Times New Roman" w:hAnsi="Times New Roman"/>
          <w:sz w:val="24"/>
          <w:szCs w:val="24"/>
        </w:rPr>
        <w:t>P</w:t>
      </w:r>
      <w:r w:rsidRPr="003A11F6">
        <w:rPr>
          <w:rFonts w:ascii="Times New Roman" w:hAnsi="Times New Roman"/>
          <w:sz w:val="24"/>
          <w:szCs w:val="24"/>
        </w:rPr>
        <w:t>olymate</w:t>
      </w:r>
      <w:proofErr w:type="spellEnd"/>
      <w:r w:rsidRPr="003A11F6">
        <w:rPr>
          <w:rFonts w:ascii="Times New Roman" w:hAnsi="Times New Roman"/>
          <w:sz w:val="24"/>
          <w:szCs w:val="24"/>
        </w:rPr>
        <w:t xml:space="preserve"> allow</w:t>
      </w:r>
      <w:r>
        <w:rPr>
          <w:rFonts w:ascii="Times New Roman" w:hAnsi="Times New Roman"/>
          <w:sz w:val="24"/>
          <w:szCs w:val="24"/>
        </w:rPr>
        <w:t xml:space="preserve">ed </w:t>
      </w:r>
      <w:r w:rsidRPr="003A11F6">
        <w:rPr>
          <w:rFonts w:ascii="Times New Roman" w:hAnsi="Times New Roman"/>
          <w:sz w:val="24"/>
          <w:szCs w:val="24"/>
        </w:rPr>
        <w:t xml:space="preserve">subsequent amplification of </w:t>
      </w:r>
      <w:r>
        <w:rPr>
          <w:rFonts w:ascii="Times New Roman" w:hAnsi="Times New Roman"/>
          <w:sz w:val="24"/>
          <w:szCs w:val="24"/>
        </w:rPr>
        <w:t>all</w:t>
      </w:r>
      <w:r w:rsidRPr="003A11F6">
        <w:rPr>
          <w:rFonts w:ascii="Times New Roman" w:hAnsi="Times New Roman"/>
          <w:sz w:val="24"/>
          <w:szCs w:val="24"/>
        </w:rPr>
        <w:t xml:space="preserve"> HCV genotypes</w:t>
      </w:r>
      <w:r>
        <w:rPr>
          <w:rFonts w:ascii="Times New Roman" w:hAnsi="Times New Roman"/>
          <w:sz w:val="24"/>
          <w:szCs w:val="24"/>
        </w:rPr>
        <w:t xml:space="preserve"> tested</w:t>
      </w:r>
      <w:r w:rsidRPr="003A11F6">
        <w:rPr>
          <w:rFonts w:ascii="Times New Roman" w:hAnsi="Times New Roman"/>
          <w:sz w:val="24"/>
          <w:szCs w:val="24"/>
        </w:rPr>
        <w:t xml:space="preserve">. Use of </w:t>
      </w:r>
      <w:proofErr w:type="spellStart"/>
      <w:r w:rsidRPr="003A11F6">
        <w:rPr>
          <w:rFonts w:ascii="Times New Roman" w:hAnsi="Times New Roman"/>
          <w:sz w:val="24"/>
          <w:szCs w:val="24"/>
        </w:rPr>
        <w:t>Polymate</w:t>
      </w:r>
      <w:proofErr w:type="spellEnd"/>
      <w:r w:rsidRPr="003A11F6">
        <w:rPr>
          <w:rFonts w:ascii="Times New Roman" w:hAnsi="Times New Roman"/>
          <w:sz w:val="24"/>
          <w:szCs w:val="24"/>
        </w:rPr>
        <w:t xml:space="preserve"> for the Reverse transcriptase at a temperature of 60ºC </w:t>
      </w:r>
      <w:r>
        <w:rPr>
          <w:rFonts w:ascii="Times New Roman" w:hAnsi="Times New Roman"/>
          <w:sz w:val="24"/>
          <w:szCs w:val="24"/>
        </w:rPr>
        <w:t>was</w:t>
      </w:r>
      <w:r w:rsidRPr="003A11F6">
        <w:rPr>
          <w:rFonts w:ascii="Times New Roman" w:hAnsi="Times New Roman"/>
          <w:sz w:val="24"/>
          <w:szCs w:val="24"/>
        </w:rPr>
        <w:t xml:space="preserve"> critical for successful subsequent amplification of the </w:t>
      </w:r>
      <w:r>
        <w:rPr>
          <w:rFonts w:ascii="Times New Roman" w:hAnsi="Times New Roman"/>
          <w:sz w:val="24"/>
          <w:szCs w:val="24"/>
        </w:rPr>
        <w:t>Core-</w:t>
      </w:r>
      <w:r>
        <w:rPr>
          <w:rFonts w:ascii="Times New Roman" w:hAnsi="Times New Roman"/>
          <w:sz w:val="24"/>
          <w:szCs w:val="24"/>
        </w:rPr>
        <w:lastRenderedPageBreak/>
        <w:t>HVR1</w:t>
      </w:r>
      <w:r w:rsidRPr="003A11F6">
        <w:rPr>
          <w:rFonts w:ascii="Times New Roman" w:hAnsi="Times New Roman"/>
          <w:sz w:val="24"/>
          <w:szCs w:val="24"/>
        </w:rPr>
        <w:t>amplicon of most HCV genotypes.</w:t>
      </w:r>
      <w:r>
        <w:rPr>
          <w:rFonts w:ascii="Times New Roman" w:hAnsi="Times New Roman"/>
          <w:sz w:val="24"/>
          <w:szCs w:val="24"/>
        </w:rPr>
        <w:t xml:space="preserve"> High fidelity Velocity DNA polymerase (</w:t>
      </w:r>
      <w:proofErr w:type="spellStart"/>
      <w:r>
        <w:rPr>
          <w:rFonts w:ascii="Times New Roman" w:hAnsi="Times New Roman"/>
          <w:sz w:val="24"/>
          <w:szCs w:val="24"/>
        </w:rPr>
        <w:t>Bioline</w:t>
      </w:r>
      <w:proofErr w:type="spellEnd"/>
      <w:r>
        <w:rPr>
          <w:rFonts w:ascii="Times New Roman" w:hAnsi="Times New Roman"/>
          <w:sz w:val="24"/>
          <w:szCs w:val="24"/>
        </w:rPr>
        <w:t xml:space="preserve">) was subsequently used to minimize PCR errors with the same conditions. </w:t>
      </w:r>
      <w:r w:rsidRPr="003A11F6">
        <w:rPr>
          <w:rFonts w:ascii="Times New Roman" w:hAnsi="Times New Roman"/>
          <w:sz w:val="24"/>
          <w:szCs w:val="24"/>
        </w:rPr>
        <w:t xml:space="preserve">The reverse transcription reaction was </w:t>
      </w:r>
      <w:r>
        <w:rPr>
          <w:rFonts w:ascii="Times New Roman" w:hAnsi="Times New Roman"/>
          <w:sz w:val="24"/>
          <w:szCs w:val="24"/>
        </w:rPr>
        <w:t>performed</w:t>
      </w:r>
      <w:r w:rsidRPr="003A11F6">
        <w:rPr>
          <w:rFonts w:ascii="Times New Roman" w:hAnsi="Times New Roman"/>
          <w:sz w:val="24"/>
          <w:szCs w:val="24"/>
        </w:rPr>
        <w:t xml:space="preserve"> with both </w:t>
      </w:r>
      <w:proofErr w:type="spellStart"/>
      <w:r w:rsidRPr="003A11F6">
        <w:rPr>
          <w:rFonts w:ascii="Times New Roman" w:hAnsi="Times New Roman"/>
          <w:sz w:val="24"/>
          <w:szCs w:val="24"/>
        </w:rPr>
        <w:t>polymate</w:t>
      </w:r>
      <w:proofErr w:type="spellEnd"/>
      <w:r w:rsidRPr="003A11F6">
        <w:rPr>
          <w:rFonts w:ascii="Times New Roman" w:hAnsi="Times New Roman"/>
          <w:sz w:val="24"/>
          <w:szCs w:val="24"/>
        </w:rPr>
        <w:t xml:space="preserve"> at 60ºC and without at 42ºC for comparison.</w:t>
      </w:r>
      <w:r w:rsidRPr="008462C3">
        <w:rPr>
          <w:rFonts w:ascii="Times New Roman" w:hAnsi="Times New Roman"/>
          <w:sz w:val="24"/>
          <w:szCs w:val="24"/>
        </w:rPr>
        <w:t xml:space="preserve"> </w:t>
      </w:r>
      <w:r>
        <w:rPr>
          <w:rFonts w:ascii="Times New Roman" w:hAnsi="Times New Roman"/>
          <w:sz w:val="24"/>
          <w:szCs w:val="24"/>
        </w:rPr>
        <w:t>In the latter condition, the amplification of the Core-E2 was problematic nevertheless NS5B could be amplified with both RT conditions.</w:t>
      </w:r>
    </w:p>
    <w:p w:rsidR="00BD616C" w:rsidRPr="00321265" w:rsidRDefault="00BD616C" w:rsidP="00BD616C">
      <w:pPr>
        <w:pStyle w:val="Heading3"/>
        <w:rPr>
          <w:rFonts w:ascii="Times New Roman" w:eastAsia="Times New Roman" w:hAnsi="Times New Roman" w:cs="Times New Roman"/>
        </w:rPr>
      </w:pPr>
      <w:r w:rsidRPr="00321265">
        <w:rPr>
          <w:rFonts w:ascii="Times New Roman" w:eastAsia="Times New Roman" w:hAnsi="Times New Roman" w:cs="Times New Roman"/>
        </w:rPr>
        <w:t>Generation of Core-E2 and NS5B amplicon</w:t>
      </w:r>
    </w:p>
    <w:p w:rsidR="00BD616C" w:rsidRPr="00511DB5" w:rsidRDefault="00BD616C" w:rsidP="00BD616C">
      <w:pPr>
        <w:spacing w:line="480" w:lineRule="auto"/>
        <w:jc w:val="both"/>
        <w:rPr>
          <w:rFonts w:ascii="Times New Roman" w:hAnsi="Times New Roman"/>
          <w:sz w:val="24"/>
          <w:szCs w:val="24"/>
        </w:rPr>
      </w:pPr>
      <w:r w:rsidRPr="00511DB5">
        <w:rPr>
          <w:rFonts w:ascii="Times New Roman" w:hAnsi="Times New Roman"/>
          <w:sz w:val="24"/>
          <w:szCs w:val="24"/>
        </w:rPr>
        <w:t xml:space="preserve">NS5B (388bp) was amplified by a single round PCR as previously described </w:t>
      </w:r>
      <w:r>
        <w:rPr>
          <w:rFonts w:ascii="Times New Roman" w:hAnsi="Times New Roman"/>
          <w:noProof/>
          <w:sz w:val="24"/>
          <w:szCs w:val="24"/>
        </w:rPr>
        <w:t>[</w:t>
      </w:r>
      <w:r w:rsidR="00CC5F19">
        <w:rPr>
          <w:rFonts w:ascii="Times New Roman" w:hAnsi="Times New Roman"/>
          <w:noProof/>
          <w:sz w:val="24"/>
          <w:szCs w:val="24"/>
        </w:rPr>
        <w:t>6</w:t>
      </w:r>
      <w:r>
        <w:rPr>
          <w:rFonts w:ascii="Times New Roman" w:hAnsi="Times New Roman"/>
          <w:noProof/>
          <w:sz w:val="24"/>
          <w:szCs w:val="24"/>
        </w:rPr>
        <w:t>]</w:t>
      </w:r>
      <w:r w:rsidRPr="00511DB5">
        <w:rPr>
          <w:rFonts w:ascii="Times New Roman" w:hAnsi="Times New Roman"/>
          <w:sz w:val="24"/>
          <w:szCs w:val="24"/>
        </w:rPr>
        <w:t xml:space="preserve"> with some modifications to reaction conditions (see </w:t>
      </w:r>
      <w:r w:rsidRPr="00321265">
        <w:rPr>
          <w:rFonts w:ascii="Times New Roman" w:hAnsi="Times New Roman"/>
          <w:sz w:val="24"/>
          <w:szCs w:val="24"/>
        </w:rPr>
        <w:t>Supplementary Material</w:t>
      </w:r>
      <w:r w:rsidRPr="00511DB5">
        <w:rPr>
          <w:rFonts w:ascii="Times New Roman" w:hAnsi="Times New Roman"/>
          <w:sz w:val="24"/>
          <w:szCs w:val="24"/>
        </w:rPr>
        <w:t xml:space="preserve"> for details). The Core-E2 region (1534bp) was amplified by an in-house nested PCR assay. Forward and reverse consensus primers for Core-E2 were designed to amplify most genotypes using 280 and 1772 Los Alamos HCV Sequence database (LANL) sequences respectively (S</w:t>
      </w:r>
      <w:r w:rsidR="00ED3887">
        <w:rPr>
          <w:rFonts w:ascii="Times New Roman" w:hAnsi="Times New Roman"/>
          <w:sz w:val="24"/>
          <w:szCs w:val="24"/>
        </w:rPr>
        <w:t>1 Table</w:t>
      </w:r>
      <w:r w:rsidRPr="00511DB5">
        <w:rPr>
          <w:rFonts w:ascii="Times New Roman" w:hAnsi="Times New Roman"/>
          <w:sz w:val="24"/>
          <w:szCs w:val="24"/>
        </w:rPr>
        <w:t>). Final PCR reactions contained 1</w:t>
      </w:r>
      <w:r w:rsidRPr="00511DB5">
        <w:rPr>
          <w:rFonts w:ascii="Times New Roman" w:hAnsi="Times New Roman"/>
          <w:sz w:val="24"/>
          <w:szCs w:val="24"/>
        </w:rPr>
        <w:sym w:font="Symbol" w:char="F0B4"/>
      </w:r>
      <w:r w:rsidRPr="00511DB5">
        <w:rPr>
          <w:rFonts w:ascii="Times New Roman" w:hAnsi="Times New Roman"/>
          <w:sz w:val="24"/>
          <w:szCs w:val="24"/>
        </w:rPr>
        <w:t xml:space="preserve"> HI-FI buffer, 0.02 unit/µL of Velocity </w:t>
      </w:r>
      <w:proofErr w:type="spellStart"/>
      <w:r w:rsidRPr="00511DB5">
        <w:rPr>
          <w:rFonts w:ascii="Times New Roman" w:hAnsi="Times New Roman"/>
          <w:sz w:val="24"/>
          <w:szCs w:val="24"/>
        </w:rPr>
        <w:t>Taq</w:t>
      </w:r>
      <w:proofErr w:type="spellEnd"/>
      <w:r w:rsidRPr="00511DB5">
        <w:rPr>
          <w:rFonts w:ascii="Times New Roman" w:hAnsi="Times New Roman"/>
          <w:sz w:val="24"/>
          <w:szCs w:val="24"/>
        </w:rPr>
        <w:t xml:space="preserve"> Polymerase (</w:t>
      </w:r>
      <w:proofErr w:type="spellStart"/>
      <w:r w:rsidRPr="00511DB5">
        <w:rPr>
          <w:rFonts w:ascii="Times New Roman" w:hAnsi="Times New Roman"/>
          <w:sz w:val="24"/>
          <w:szCs w:val="24"/>
        </w:rPr>
        <w:t>Bioline</w:t>
      </w:r>
      <w:proofErr w:type="spellEnd"/>
      <w:r w:rsidRPr="00511DB5">
        <w:rPr>
          <w:rFonts w:ascii="Times New Roman" w:hAnsi="Times New Roman"/>
          <w:sz w:val="24"/>
          <w:szCs w:val="24"/>
        </w:rPr>
        <w:t xml:space="preserve">), 250 µM </w:t>
      </w:r>
      <w:proofErr w:type="spellStart"/>
      <w:r w:rsidRPr="00511DB5">
        <w:rPr>
          <w:rFonts w:ascii="Times New Roman" w:hAnsi="Times New Roman"/>
          <w:sz w:val="24"/>
          <w:szCs w:val="24"/>
        </w:rPr>
        <w:t>dNTP</w:t>
      </w:r>
      <w:proofErr w:type="spellEnd"/>
      <w:r w:rsidRPr="00511DB5">
        <w:rPr>
          <w:rFonts w:ascii="Times New Roman" w:hAnsi="Times New Roman"/>
          <w:sz w:val="24"/>
          <w:szCs w:val="24"/>
        </w:rPr>
        <w:t xml:space="preserve"> (</w:t>
      </w:r>
      <w:proofErr w:type="spellStart"/>
      <w:r w:rsidRPr="00511DB5">
        <w:rPr>
          <w:rFonts w:ascii="Times New Roman" w:hAnsi="Times New Roman"/>
          <w:sz w:val="24"/>
          <w:szCs w:val="24"/>
        </w:rPr>
        <w:t>Bioline</w:t>
      </w:r>
      <w:proofErr w:type="spellEnd"/>
      <w:r w:rsidRPr="00511DB5">
        <w:rPr>
          <w:rFonts w:ascii="Times New Roman" w:hAnsi="Times New Roman"/>
          <w:sz w:val="24"/>
          <w:szCs w:val="24"/>
        </w:rPr>
        <w:t xml:space="preserve">), 200 </w:t>
      </w:r>
      <w:proofErr w:type="spellStart"/>
      <w:r w:rsidRPr="00511DB5">
        <w:rPr>
          <w:rFonts w:ascii="Times New Roman" w:hAnsi="Times New Roman"/>
          <w:sz w:val="24"/>
          <w:szCs w:val="24"/>
        </w:rPr>
        <w:t>nM</w:t>
      </w:r>
      <w:proofErr w:type="spellEnd"/>
      <w:r w:rsidRPr="00511DB5">
        <w:rPr>
          <w:rFonts w:ascii="Times New Roman" w:hAnsi="Times New Roman"/>
          <w:sz w:val="24"/>
          <w:szCs w:val="24"/>
        </w:rPr>
        <w:t xml:space="preserve"> forward primer (Integrated DNA Technologies), 400 </w:t>
      </w:r>
      <w:proofErr w:type="spellStart"/>
      <w:r w:rsidRPr="00511DB5">
        <w:rPr>
          <w:rFonts w:ascii="Times New Roman" w:hAnsi="Times New Roman"/>
          <w:sz w:val="24"/>
          <w:szCs w:val="24"/>
        </w:rPr>
        <w:t>nM</w:t>
      </w:r>
      <w:proofErr w:type="spellEnd"/>
      <w:r w:rsidRPr="00511DB5">
        <w:rPr>
          <w:rFonts w:ascii="Times New Roman" w:hAnsi="Times New Roman"/>
          <w:sz w:val="24"/>
          <w:szCs w:val="24"/>
        </w:rPr>
        <w:t xml:space="preserve"> reverse primer, one times concentration of </w:t>
      </w:r>
      <w:proofErr w:type="spellStart"/>
      <w:r w:rsidRPr="00511DB5">
        <w:rPr>
          <w:rFonts w:ascii="Times New Roman" w:hAnsi="Times New Roman"/>
          <w:sz w:val="24"/>
          <w:szCs w:val="24"/>
        </w:rPr>
        <w:t>PolyMate</w:t>
      </w:r>
      <w:proofErr w:type="spellEnd"/>
      <w:r w:rsidRPr="00511DB5">
        <w:rPr>
          <w:rFonts w:ascii="Times New Roman" w:hAnsi="Times New Roman"/>
          <w:sz w:val="24"/>
          <w:szCs w:val="24"/>
        </w:rPr>
        <w:t xml:space="preserve"> (</w:t>
      </w:r>
      <w:proofErr w:type="spellStart"/>
      <w:r w:rsidRPr="00511DB5">
        <w:rPr>
          <w:rFonts w:ascii="Times New Roman" w:hAnsi="Times New Roman"/>
          <w:sz w:val="24"/>
          <w:szCs w:val="24"/>
        </w:rPr>
        <w:t>Bioline</w:t>
      </w:r>
      <w:proofErr w:type="spellEnd"/>
      <w:r w:rsidRPr="00511DB5">
        <w:rPr>
          <w:rFonts w:ascii="Times New Roman" w:hAnsi="Times New Roman"/>
          <w:sz w:val="24"/>
          <w:szCs w:val="24"/>
        </w:rPr>
        <w:t xml:space="preserve">) and cDNA at 1/10 of the final reaction volume. Round 1 PCRs for Core-HVR1 and NS5B were performed in a total volume of 20 µL, round 2 PCRs for Core-HVR1 in 40 µL and NS5B repeats in 50 µL total reactions. </w:t>
      </w:r>
      <w:proofErr w:type="spellStart"/>
      <w:r w:rsidRPr="00511DB5">
        <w:rPr>
          <w:rFonts w:ascii="Times New Roman" w:hAnsi="Times New Roman"/>
          <w:sz w:val="24"/>
          <w:szCs w:val="24"/>
        </w:rPr>
        <w:t>Thermocycling</w:t>
      </w:r>
      <w:proofErr w:type="spellEnd"/>
      <w:r w:rsidRPr="00511DB5">
        <w:rPr>
          <w:rFonts w:ascii="Times New Roman" w:hAnsi="Times New Roman"/>
          <w:sz w:val="24"/>
          <w:szCs w:val="24"/>
        </w:rPr>
        <w:t xml:space="preserve"> conditions were as follows; first round PCR was carried out for 98°C for 2 min, then 35 cycles of 98°C, 60°C and 72°C for 30 sec, 30 sec and 1 min respectively and followed by 72°C for 10 min; second round PCR for the Core-E2 fragment or the single round NS5B are as described for Core-E2, with the exception of requiring 40 cycles and an annealing temperature at 56°C. PCR amplicon size and quality was confirmed by 2.5% agarose gel electrophoresis. </w:t>
      </w:r>
    </w:p>
    <w:p w:rsidR="00BD616C" w:rsidRPr="00511DB5" w:rsidRDefault="00BD616C" w:rsidP="00BD616C">
      <w:pPr>
        <w:spacing w:line="480" w:lineRule="auto"/>
        <w:jc w:val="both"/>
        <w:rPr>
          <w:rFonts w:ascii="Times New Roman" w:hAnsi="Times New Roman"/>
          <w:sz w:val="24"/>
          <w:szCs w:val="24"/>
          <w:u w:val="single"/>
        </w:rPr>
      </w:pPr>
    </w:p>
    <w:p w:rsidR="00BD616C" w:rsidRPr="00321265" w:rsidRDefault="00BD616C" w:rsidP="00BD616C">
      <w:pPr>
        <w:pStyle w:val="Heading3"/>
        <w:rPr>
          <w:rFonts w:ascii="Times New Roman" w:eastAsia="Times New Roman" w:hAnsi="Times New Roman" w:cs="Times New Roman"/>
        </w:rPr>
      </w:pPr>
      <w:r w:rsidRPr="00321265">
        <w:rPr>
          <w:rFonts w:ascii="Times New Roman" w:eastAsia="Times New Roman" w:hAnsi="Times New Roman" w:cs="Times New Roman"/>
        </w:rPr>
        <w:lastRenderedPageBreak/>
        <w:t>Sequencing reactions</w:t>
      </w:r>
    </w:p>
    <w:p w:rsidR="00BD616C" w:rsidRPr="00511DB5" w:rsidRDefault="00BD616C" w:rsidP="00BD616C">
      <w:pPr>
        <w:spacing w:line="480" w:lineRule="auto"/>
        <w:jc w:val="both"/>
        <w:rPr>
          <w:rFonts w:ascii="Times New Roman" w:hAnsi="Times New Roman"/>
          <w:sz w:val="24"/>
          <w:szCs w:val="24"/>
        </w:rPr>
      </w:pPr>
      <w:r w:rsidRPr="00511DB5">
        <w:rPr>
          <w:rFonts w:ascii="Times New Roman" w:hAnsi="Times New Roman"/>
          <w:sz w:val="24"/>
          <w:szCs w:val="24"/>
        </w:rPr>
        <w:t xml:space="preserve">PCR product was either purified directly using the </w:t>
      </w:r>
      <w:proofErr w:type="spellStart"/>
      <w:r w:rsidRPr="00511DB5">
        <w:rPr>
          <w:rFonts w:ascii="Times New Roman" w:hAnsi="Times New Roman"/>
          <w:sz w:val="24"/>
          <w:szCs w:val="24"/>
        </w:rPr>
        <w:t>QIAquick</w:t>
      </w:r>
      <w:proofErr w:type="spellEnd"/>
      <w:r w:rsidRPr="00511DB5">
        <w:rPr>
          <w:rFonts w:ascii="Times New Roman" w:hAnsi="Times New Roman"/>
          <w:sz w:val="24"/>
          <w:szCs w:val="24"/>
        </w:rPr>
        <w:t xml:space="preserve"> PCR purification kit spin column (</w:t>
      </w:r>
      <w:proofErr w:type="spellStart"/>
      <w:r w:rsidRPr="00511DB5">
        <w:rPr>
          <w:rFonts w:ascii="Times New Roman" w:hAnsi="Times New Roman"/>
          <w:sz w:val="24"/>
          <w:szCs w:val="24"/>
        </w:rPr>
        <w:t>Qiagen</w:t>
      </w:r>
      <w:proofErr w:type="spellEnd"/>
      <w:r w:rsidRPr="00511DB5">
        <w:rPr>
          <w:rFonts w:ascii="Times New Roman" w:hAnsi="Times New Roman"/>
          <w:sz w:val="24"/>
          <w:szCs w:val="24"/>
        </w:rPr>
        <w:t xml:space="preserve">) or by </w:t>
      </w:r>
      <w:proofErr w:type="spellStart"/>
      <w:r w:rsidRPr="00511DB5">
        <w:rPr>
          <w:rFonts w:ascii="Times New Roman" w:hAnsi="Times New Roman"/>
          <w:sz w:val="24"/>
          <w:szCs w:val="24"/>
        </w:rPr>
        <w:t>QIAquick</w:t>
      </w:r>
      <w:proofErr w:type="spellEnd"/>
      <w:r w:rsidRPr="00511DB5">
        <w:rPr>
          <w:rFonts w:ascii="Times New Roman" w:hAnsi="Times New Roman"/>
          <w:sz w:val="24"/>
          <w:szCs w:val="24"/>
        </w:rPr>
        <w:t xml:space="preserve"> Gel extraction kit spin column (</w:t>
      </w:r>
      <w:proofErr w:type="spellStart"/>
      <w:r w:rsidRPr="00511DB5">
        <w:rPr>
          <w:rFonts w:ascii="Times New Roman" w:hAnsi="Times New Roman"/>
          <w:sz w:val="24"/>
          <w:szCs w:val="24"/>
        </w:rPr>
        <w:t>Qiagen</w:t>
      </w:r>
      <w:proofErr w:type="spellEnd"/>
      <w:r w:rsidRPr="00511DB5">
        <w:rPr>
          <w:rFonts w:ascii="Times New Roman" w:hAnsi="Times New Roman"/>
          <w:sz w:val="24"/>
          <w:szCs w:val="24"/>
        </w:rPr>
        <w:t xml:space="preserve">) after electrophoresis to remove non-specific amplicons as required. Sanger sequencing of PCR products in both directions was completed by the Australian Genome Research Facility Ltd (Westmead, NSW, </w:t>
      </w:r>
      <w:proofErr w:type="gramStart"/>
      <w:r w:rsidRPr="00511DB5">
        <w:rPr>
          <w:rFonts w:ascii="Times New Roman" w:hAnsi="Times New Roman"/>
          <w:sz w:val="24"/>
          <w:szCs w:val="24"/>
        </w:rPr>
        <w:t>Australia</w:t>
      </w:r>
      <w:proofErr w:type="gramEnd"/>
      <w:r w:rsidRPr="00511DB5">
        <w:rPr>
          <w:rFonts w:ascii="Times New Roman" w:hAnsi="Times New Roman"/>
          <w:sz w:val="24"/>
          <w:szCs w:val="24"/>
        </w:rPr>
        <w:t xml:space="preserve">) using ABI Prism </w:t>
      </w:r>
      <w:proofErr w:type="spellStart"/>
      <w:r w:rsidRPr="00511DB5">
        <w:rPr>
          <w:rFonts w:ascii="Times New Roman" w:hAnsi="Times New Roman"/>
          <w:sz w:val="24"/>
          <w:szCs w:val="24"/>
        </w:rPr>
        <w:t>BigDye</w:t>
      </w:r>
      <w:proofErr w:type="spellEnd"/>
      <w:r w:rsidRPr="00511DB5">
        <w:rPr>
          <w:rFonts w:ascii="Times New Roman" w:hAnsi="Times New Roman"/>
          <w:sz w:val="24"/>
          <w:szCs w:val="24"/>
        </w:rPr>
        <w:t xml:space="preserve"> terminator chemistry (BDT v3.1, Applied </w:t>
      </w:r>
      <w:proofErr w:type="spellStart"/>
      <w:r w:rsidRPr="00511DB5">
        <w:rPr>
          <w:rFonts w:ascii="Times New Roman" w:hAnsi="Times New Roman"/>
          <w:sz w:val="24"/>
          <w:szCs w:val="24"/>
        </w:rPr>
        <w:t>Biosystem</w:t>
      </w:r>
      <w:proofErr w:type="spellEnd"/>
      <w:r w:rsidRPr="00511DB5">
        <w:rPr>
          <w:rFonts w:ascii="Times New Roman" w:hAnsi="Times New Roman"/>
          <w:sz w:val="24"/>
          <w:szCs w:val="24"/>
        </w:rPr>
        <w:t xml:space="preserve">, USA), using KB </w:t>
      </w:r>
      <w:proofErr w:type="spellStart"/>
      <w:r w:rsidRPr="00511DB5">
        <w:rPr>
          <w:rFonts w:ascii="Times New Roman" w:hAnsi="Times New Roman"/>
          <w:sz w:val="24"/>
          <w:szCs w:val="24"/>
        </w:rPr>
        <w:t>Basecaller</w:t>
      </w:r>
      <w:proofErr w:type="spellEnd"/>
      <w:r w:rsidRPr="00511DB5">
        <w:rPr>
          <w:rFonts w:ascii="Times New Roman" w:hAnsi="Times New Roman"/>
          <w:sz w:val="24"/>
          <w:szCs w:val="24"/>
        </w:rPr>
        <w:t xml:space="preserve"> and Sequence Scanner v1.0 software (Applied </w:t>
      </w:r>
      <w:proofErr w:type="spellStart"/>
      <w:r w:rsidRPr="00511DB5">
        <w:rPr>
          <w:rFonts w:ascii="Times New Roman" w:hAnsi="Times New Roman"/>
          <w:sz w:val="24"/>
          <w:szCs w:val="24"/>
        </w:rPr>
        <w:t>Biosystem</w:t>
      </w:r>
      <w:proofErr w:type="spellEnd"/>
      <w:r w:rsidRPr="00511DB5">
        <w:rPr>
          <w:rFonts w:ascii="Times New Roman" w:hAnsi="Times New Roman"/>
          <w:sz w:val="24"/>
          <w:szCs w:val="24"/>
        </w:rPr>
        <w:t xml:space="preserve">). Sequencing reactions contained 6µL template (purified or 1/15 diluted PCR product for single NS5B fragment), 5µL </w:t>
      </w:r>
      <w:proofErr w:type="spellStart"/>
      <w:r w:rsidRPr="00511DB5">
        <w:rPr>
          <w:rFonts w:ascii="Times New Roman" w:hAnsi="Times New Roman"/>
          <w:sz w:val="24"/>
          <w:szCs w:val="24"/>
        </w:rPr>
        <w:t>PolyMate</w:t>
      </w:r>
      <w:proofErr w:type="spellEnd"/>
      <w:r w:rsidRPr="00511DB5">
        <w:rPr>
          <w:rFonts w:ascii="Times New Roman" w:hAnsi="Times New Roman"/>
          <w:sz w:val="24"/>
          <w:szCs w:val="24"/>
        </w:rPr>
        <w:t xml:space="preserve"> and 1µL primer at 20µM. </w:t>
      </w:r>
      <w:proofErr w:type="gramStart"/>
      <w:r w:rsidRPr="00511DB5">
        <w:rPr>
          <w:rFonts w:ascii="Times New Roman" w:hAnsi="Times New Roman"/>
          <w:sz w:val="24"/>
          <w:szCs w:val="24"/>
        </w:rPr>
        <w:t>Raw</w:t>
      </w:r>
      <w:proofErr w:type="gramEnd"/>
      <w:r w:rsidRPr="00511DB5">
        <w:rPr>
          <w:rFonts w:ascii="Times New Roman" w:hAnsi="Times New Roman"/>
          <w:sz w:val="24"/>
          <w:szCs w:val="24"/>
        </w:rPr>
        <w:t xml:space="preserve"> sequences were aligned and HCV location compared to the H77 genotype 1a sequence (</w:t>
      </w:r>
      <w:proofErr w:type="spellStart"/>
      <w:r w:rsidRPr="00511DB5">
        <w:rPr>
          <w:rFonts w:ascii="Times New Roman" w:hAnsi="Times New Roman"/>
          <w:sz w:val="24"/>
          <w:szCs w:val="24"/>
        </w:rPr>
        <w:t>GenBank</w:t>
      </w:r>
      <w:proofErr w:type="spellEnd"/>
      <w:r w:rsidRPr="00511DB5">
        <w:rPr>
          <w:rFonts w:ascii="Times New Roman" w:hAnsi="Times New Roman"/>
          <w:sz w:val="24"/>
          <w:szCs w:val="24"/>
        </w:rPr>
        <w:t xml:space="preserve"> accession number: NC004102). </w:t>
      </w:r>
    </w:p>
    <w:p w:rsidR="00BD616C" w:rsidRDefault="00BD616C" w:rsidP="00BD616C">
      <w:pPr>
        <w:spacing w:line="480" w:lineRule="auto"/>
        <w:rPr>
          <w:rFonts w:ascii="Times New Roman" w:hAnsi="Times New Roman"/>
          <w:b/>
          <w:i/>
          <w:sz w:val="24"/>
          <w:szCs w:val="24"/>
        </w:rPr>
      </w:pPr>
    </w:p>
    <w:p w:rsidR="00BD616C" w:rsidRPr="00321265" w:rsidRDefault="00BD616C" w:rsidP="00BD616C">
      <w:pPr>
        <w:pStyle w:val="Heading3"/>
        <w:rPr>
          <w:rFonts w:ascii="Times New Roman" w:hAnsi="Times New Roman" w:cs="Times New Roman"/>
        </w:rPr>
      </w:pPr>
      <w:r w:rsidRPr="00321265">
        <w:rPr>
          <w:rFonts w:ascii="Times New Roman" w:hAnsi="Times New Roman" w:cs="Times New Roman"/>
        </w:rPr>
        <w:t>Sequencing of Core-E2</w:t>
      </w:r>
    </w:p>
    <w:p w:rsidR="00BD616C" w:rsidRDefault="00BD616C" w:rsidP="00BD616C">
      <w:pPr>
        <w:spacing w:line="480" w:lineRule="auto"/>
        <w:rPr>
          <w:rFonts w:ascii="Times New Roman" w:hAnsi="Times New Roman"/>
          <w:sz w:val="24"/>
          <w:szCs w:val="24"/>
        </w:rPr>
      </w:pPr>
      <w:r>
        <w:rPr>
          <w:rFonts w:ascii="Times New Roman" w:hAnsi="Times New Roman"/>
          <w:sz w:val="24"/>
          <w:szCs w:val="24"/>
        </w:rPr>
        <w:t xml:space="preserve">PCR additives such as </w:t>
      </w:r>
      <w:proofErr w:type="spellStart"/>
      <w:r w:rsidRPr="007A4F1A">
        <w:rPr>
          <w:rFonts w:ascii="Times New Roman" w:hAnsi="Times New Roman"/>
          <w:sz w:val="24"/>
          <w:szCs w:val="24"/>
        </w:rPr>
        <w:t>Polymate</w:t>
      </w:r>
      <w:proofErr w:type="spellEnd"/>
      <w:r w:rsidRPr="007A4F1A">
        <w:rPr>
          <w:rFonts w:ascii="Times New Roman" w:hAnsi="Times New Roman"/>
          <w:sz w:val="24"/>
          <w:szCs w:val="24"/>
        </w:rPr>
        <w:t xml:space="preserve"> </w:t>
      </w:r>
      <w:r>
        <w:rPr>
          <w:rFonts w:ascii="Times New Roman" w:hAnsi="Times New Roman"/>
          <w:sz w:val="24"/>
          <w:szCs w:val="24"/>
        </w:rPr>
        <w:t xml:space="preserve">were </w:t>
      </w:r>
      <w:r w:rsidRPr="007A4F1A">
        <w:rPr>
          <w:rFonts w:ascii="Times New Roman" w:hAnsi="Times New Roman"/>
          <w:sz w:val="24"/>
          <w:szCs w:val="24"/>
        </w:rPr>
        <w:t xml:space="preserve">used for sequencing reaction </w:t>
      </w:r>
      <w:r>
        <w:rPr>
          <w:rFonts w:ascii="Times New Roman" w:hAnsi="Times New Roman"/>
          <w:sz w:val="24"/>
          <w:szCs w:val="24"/>
        </w:rPr>
        <w:t xml:space="preserve">to </w:t>
      </w:r>
      <w:r w:rsidRPr="007A4F1A">
        <w:rPr>
          <w:rFonts w:ascii="Times New Roman" w:hAnsi="Times New Roman"/>
          <w:sz w:val="24"/>
          <w:szCs w:val="24"/>
        </w:rPr>
        <w:t>remove secondary structure</w:t>
      </w:r>
      <w:r>
        <w:rPr>
          <w:rFonts w:ascii="Times New Roman" w:hAnsi="Times New Roman"/>
          <w:sz w:val="24"/>
          <w:szCs w:val="24"/>
        </w:rPr>
        <w:t xml:space="preserve">s, </w:t>
      </w:r>
      <w:r w:rsidRPr="007A4F1A">
        <w:rPr>
          <w:rFonts w:ascii="Times New Roman" w:hAnsi="Times New Roman"/>
          <w:sz w:val="24"/>
          <w:szCs w:val="24"/>
        </w:rPr>
        <w:t xml:space="preserve">as shown </w:t>
      </w:r>
      <w:r>
        <w:rPr>
          <w:rFonts w:ascii="Times New Roman" w:hAnsi="Times New Roman"/>
          <w:sz w:val="24"/>
          <w:szCs w:val="24"/>
        </w:rPr>
        <w:t>in S</w:t>
      </w:r>
      <w:r w:rsidR="00ED3887">
        <w:rPr>
          <w:rFonts w:ascii="Times New Roman" w:hAnsi="Times New Roman"/>
          <w:sz w:val="24"/>
          <w:szCs w:val="24"/>
        </w:rPr>
        <w:t>2 Fig.</w:t>
      </w:r>
      <w:r>
        <w:rPr>
          <w:rFonts w:ascii="Times New Roman" w:hAnsi="Times New Roman"/>
          <w:sz w:val="24"/>
          <w:szCs w:val="24"/>
        </w:rPr>
        <w:t xml:space="preserve"> </w:t>
      </w:r>
      <w:r w:rsidRPr="007A4F1A">
        <w:rPr>
          <w:rFonts w:ascii="Times New Roman" w:hAnsi="Times New Roman"/>
          <w:sz w:val="24"/>
          <w:szCs w:val="24"/>
        </w:rPr>
        <w:t>(</w:t>
      </w:r>
      <w:r>
        <w:rPr>
          <w:rFonts w:ascii="Times New Roman" w:hAnsi="Times New Roman"/>
          <w:sz w:val="24"/>
          <w:szCs w:val="24"/>
        </w:rPr>
        <w:t>upper panels</w:t>
      </w:r>
      <w:r w:rsidRPr="007A4F1A">
        <w:rPr>
          <w:rFonts w:ascii="Times New Roman" w:hAnsi="Times New Roman"/>
          <w:sz w:val="24"/>
          <w:szCs w:val="24"/>
        </w:rPr>
        <w:t>)</w:t>
      </w:r>
      <w:r>
        <w:rPr>
          <w:rFonts w:ascii="Times New Roman" w:hAnsi="Times New Roman"/>
          <w:sz w:val="24"/>
          <w:szCs w:val="24"/>
        </w:rPr>
        <w:t xml:space="preserve"> in</w:t>
      </w:r>
      <w:r w:rsidRPr="007A4F1A">
        <w:rPr>
          <w:rFonts w:ascii="Times New Roman" w:hAnsi="Times New Roman"/>
          <w:sz w:val="24"/>
          <w:szCs w:val="24"/>
        </w:rPr>
        <w:t xml:space="preserve"> the </w:t>
      </w:r>
      <w:r>
        <w:rPr>
          <w:rFonts w:ascii="Times New Roman" w:hAnsi="Times New Roman"/>
          <w:sz w:val="24"/>
          <w:szCs w:val="24"/>
        </w:rPr>
        <w:t>Core-E2</w:t>
      </w:r>
      <w:r w:rsidRPr="007A4F1A">
        <w:rPr>
          <w:rFonts w:ascii="Times New Roman" w:hAnsi="Times New Roman"/>
          <w:sz w:val="24"/>
          <w:szCs w:val="24"/>
        </w:rPr>
        <w:t xml:space="preserve"> sequencing raw fluorescence</w:t>
      </w:r>
      <w:r>
        <w:rPr>
          <w:rFonts w:ascii="Times New Roman" w:hAnsi="Times New Roman"/>
          <w:sz w:val="24"/>
          <w:szCs w:val="24"/>
        </w:rPr>
        <w:t xml:space="preserve">. The polymerase was presumably unable to progress through some stem-loop DNA forms as shown by the typical “step” or sharp drop of fluorescence intensity on the graph of raw data. The same amplicon used for sequencing reaction with </w:t>
      </w:r>
      <w:proofErr w:type="spellStart"/>
      <w:r>
        <w:rPr>
          <w:rFonts w:ascii="Times New Roman" w:hAnsi="Times New Roman"/>
          <w:sz w:val="24"/>
          <w:szCs w:val="24"/>
        </w:rPr>
        <w:t>Polymate</w:t>
      </w:r>
      <w:proofErr w:type="spellEnd"/>
      <w:r>
        <w:rPr>
          <w:rFonts w:ascii="Times New Roman" w:hAnsi="Times New Roman"/>
          <w:sz w:val="24"/>
          <w:szCs w:val="24"/>
        </w:rPr>
        <w:t xml:space="preserve"> (1X final concentration) had the secondary structure</w:t>
      </w:r>
      <w:r w:rsidRPr="007A4F1A">
        <w:rPr>
          <w:rFonts w:ascii="Times New Roman" w:hAnsi="Times New Roman"/>
          <w:sz w:val="24"/>
          <w:szCs w:val="24"/>
        </w:rPr>
        <w:t xml:space="preserve"> </w:t>
      </w:r>
      <w:r>
        <w:rPr>
          <w:rFonts w:ascii="Times New Roman" w:hAnsi="Times New Roman"/>
          <w:sz w:val="24"/>
          <w:szCs w:val="24"/>
        </w:rPr>
        <w:t>removed</w:t>
      </w:r>
      <w:r w:rsidRPr="007A4F1A">
        <w:rPr>
          <w:rFonts w:ascii="Times New Roman" w:hAnsi="Times New Roman"/>
          <w:sz w:val="24"/>
          <w:szCs w:val="24"/>
        </w:rPr>
        <w:t xml:space="preserve"> which </w:t>
      </w:r>
      <w:r>
        <w:rPr>
          <w:rFonts w:ascii="Times New Roman" w:hAnsi="Times New Roman"/>
          <w:sz w:val="24"/>
          <w:szCs w:val="24"/>
        </w:rPr>
        <w:t xml:space="preserve">greatly </w:t>
      </w:r>
      <w:r w:rsidRPr="007A4F1A">
        <w:rPr>
          <w:rFonts w:ascii="Times New Roman" w:hAnsi="Times New Roman"/>
          <w:sz w:val="24"/>
          <w:szCs w:val="24"/>
        </w:rPr>
        <w:t>improve</w:t>
      </w:r>
      <w:r>
        <w:rPr>
          <w:rFonts w:ascii="Times New Roman" w:hAnsi="Times New Roman"/>
          <w:sz w:val="24"/>
          <w:szCs w:val="24"/>
        </w:rPr>
        <w:t>d</w:t>
      </w:r>
      <w:r w:rsidRPr="007A4F1A">
        <w:rPr>
          <w:rFonts w:ascii="Times New Roman" w:hAnsi="Times New Roman"/>
          <w:sz w:val="24"/>
          <w:szCs w:val="24"/>
        </w:rPr>
        <w:t xml:space="preserve"> the length of the sequence and </w:t>
      </w:r>
      <w:r>
        <w:rPr>
          <w:rFonts w:ascii="Times New Roman" w:hAnsi="Times New Roman"/>
          <w:sz w:val="24"/>
          <w:szCs w:val="24"/>
        </w:rPr>
        <w:t xml:space="preserve">also the </w:t>
      </w:r>
      <w:r w:rsidRPr="007A4F1A">
        <w:rPr>
          <w:rFonts w:ascii="Times New Roman" w:hAnsi="Times New Roman"/>
          <w:sz w:val="24"/>
          <w:szCs w:val="24"/>
        </w:rPr>
        <w:t>quality s</w:t>
      </w:r>
      <w:r>
        <w:rPr>
          <w:rFonts w:ascii="Times New Roman" w:hAnsi="Times New Roman"/>
          <w:sz w:val="24"/>
          <w:szCs w:val="24"/>
        </w:rPr>
        <w:t>core</w:t>
      </w:r>
      <w:r w:rsidRPr="007A4F1A">
        <w:rPr>
          <w:rFonts w:ascii="Times New Roman" w:hAnsi="Times New Roman"/>
          <w:sz w:val="24"/>
          <w:szCs w:val="24"/>
        </w:rPr>
        <w:t xml:space="preserve"> for each nucleotide (</w:t>
      </w:r>
      <w:r>
        <w:rPr>
          <w:rFonts w:ascii="Times New Roman" w:hAnsi="Times New Roman"/>
          <w:sz w:val="24"/>
          <w:szCs w:val="24"/>
        </w:rPr>
        <w:t>S</w:t>
      </w:r>
      <w:r w:rsidR="00ED3887">
        <w:rPr>
          <w:rFonts w:ascii="Times New Roman" w:hAnsi="Times New Roman"/>
          <w:sz w:val="24"/>
          <w:szCs w:val="24"/>
        </w:rPr>
        <w:t>2 Fig.</w:t>
      </w:r>
      <w:r>
        <w:rPr>
          <w:rFonts w:ascii="Times New Roman" w:hAnsi="Times New Roman"/>
          <w:sz w:val="24"/>
          <w:szCs w:val="24"/>
        </w:rPr>
        <w:t xml:space="preserve">, Lower panels). </w:t>
      </w:r>
    </w:p>
    <w:p w:rsidR="00BD616C" w:rsidRDefault="00BD616C" w:rsidP="00BD616C">
      <w:pPr>
        <w:spacing w:line="480" w:lineRule="auto"/>
        <w:rPr>
          <w:rFonts w:ascii="Times New Roman" w:hAnsi="Times New Roman"/>
          <w:sz w:val="24"/>
          <w:szCs w:val="24"/>
        </w:rPr>
      </w:pPr>
    </w:p>
    <w:p w:rsidR="00BD616C" w:rsidRPr="00321265" w:rsidRDefault="00BD616C" w:rsidP="00BD616C">
      <w:pPr>
        <w:pStyle w:val="Heading3"/>
        <w:rPr>
          <w:rFonts w:ascii="Times New Roman" w:hAnsi="Times New Roman" w:cs="Times New Roman"/>
        </w:rPr>
      </w:pPr>
      <w:r w:rsidRPr="00321265">
        <w:rPr>
          <w:rFonts w:ascii="Times New Roman" w:hAnsi="Times New Roman" w:cs="Times New Roman"/>
        </w:rPr>
        <w:t>Discussion on Core-E2 protocol</w:t>
      </w:r>
    </w:p>
    <w:p w:rsidR="00BD616C" w:rsidRDefault="00BD616C" w:rsidP="00BD616C">
      <w:pPr>
        <w:spacing w:line="480" w:lineRule="auto"/>
        <w:rPr>
          <w:rFonts w:ascii="Times New Roman" w:hAnsi="Times New Roman"/>
          <w:sz w:val="24"/>
          <w:szCs w:val="24"/>
        </w:rPr>
      </w:pPr>
      <w:r w:rsidRPr="002C4A84">
        <w:rPr>
          <w:rFonts w:ascii="Times New Roman" w:hAnsi="Times New Roman"/>
          <w:sz w:val="24"/>
          <w:szCs w:val="24"/>
        </w:rPr>
        <w:t xml:space="preserve">The Core-E2 fragment described in this study incorporated several design features.  Random hexamers were used to allow subsequent amplification of any HCV region for other </w:t>
      </w:r>
      <w:r w:rsidRPr="002C4A84">
        <w:rPr>
          <w:rFonts w:ascii="Times New Roman" w:hAnsi="Times New Roman"/>
          <w:sz w:val="24"/>
          <w:szCs w:val="24"/>
        </w:rPr>
        <w:lastRenderedPageBreak/>
        <w:t xml:space="preserve">applications, such as mixed infection assays, to maximise applications of limited clinical sample. They also limit primer bias and help overcome the large genetic diversity within the HCV genus. Universal primers were designed to amplify the most prevalent genotypes within our cohort to reduce cost and increase throughput. The Core-E2 assay incorporated a PCR-additive, </w:t>
      </w:r>
      <w:proofErr w:type="spellStart"/>
      <w:r w:rsidRPr="002C4A84">
        <w:rPr>
          <w:rFonts w:ascii="Times New Roman" w:hAnsi="Times New Roman"/>
          <w:sz w:val="24"/>
          <w:szCs w:val="24"/>
        </w:rPr>
        <w:t>Polymate</w:t>
      </w:r>
      <w:proofErr w:type="spellEnd"/>
      <w:r w:rsidRPr="002C4A84">
        <w:rPr>
          <w:rFonts w:ascii="Times New Roman" w:hAnsi="Times New Roman"/>
          <w:sz w:val="24"/>
          <w:szCs w:val="24"/>
        </w:rPr>
        <w:t xml:space="preserve">, during reverse transcription, amplification and sequencing reactions to destabilise the 3’ stem-loop secondary structures </w:t>
      </w:r>
      <w:r>
        <w:rPr>
          <w:rFonts w:ascii="Times New Roman" w:hAnsi="Times New Roman"/>
          <w:noProof/>
          <w:sz w:val="24"/>
          <w:szCs w:val="24"/>
        </w:rPr>
        <w:t>[1]</w:t>
      </w:r>
      <w:r w:rsidRPr="002C4A84">
        <w:rPr>
          <w:rFonts w:ascii="Times New Roman" w:hAnsi="Times New Roman"/>
          <w:sz w:val="24"/>
          <w:szCs w:val="24"/>
        </w:rPr>
        <w:t xml:space="preserve"> and improve the sequencing success rate. The Core-E2 assay was compared with a published NS5B protocol, which demonstrated a higher sequencing success rate (90% vs 74%), probably due to the more conserved region and shorter amplicon size</w:t>
      </w:r>
      <w:r w:rsidRPr="002C4A84">
        <w:t xml:space="preserve"> </w:t>
      </w:r>
      <w:r>
        <w:rPr>
          <w:rFonts w:ascii="Times New Roman" w:hAnsi="Times New Roman"/>
          <w:noProof/>
          <w:sz w:val="24"/>
          <w:szCs w:val="24"/>
        </w:rPr>
        <w:t>[</w:t>
      </w:r>
      <w:r w:rsidR="00CC5F19">
        <w:rPr>
          <w:rFonts w:ascii="Times New Roman" w:hAnsi="Times New Roman"/>
          <w:noProof/>
          <w:sz w:val="24"/>
          <w:szCs w:val="24"/>
        </w:rPr>
        <w:t>7</w:t>
      </w:r>
      <w:r>
        <w:rPr>
          <w:rFonts w:ascii="Times New Roman" w:hAnsi="Times New Roman"/>
          <w:noProof/>
          <w:sz w:val="24"/>
          <w:szCs w:val="24"/>
        </w:rPr>
        <w:t>]</w:t>
      </w:r>
      <w:r w:rsidRPr="002C4A84">
        <w:t xml:space="preserve"> </w:t>
      </w:r>
      <w:r>
        <w:rPr>
          <w:rFonts w:ascii="Times New Roman" w:hAnsi="Times New Roman"/>
          <w:noProof/>
          <w:sz w:val="24"/>
          <w:szCs w:val="24"/>
        </w:rPr>
        <w:t>[</w:t>
      </w:r>
      <w:r w:rsidR="00CC5F19">
        <w:rPr>
          <w:rFonts w:ascii="Times New Roman" w:hAnsi="Times New Roman"/>
          <w:noProof/>
          <w:sz w:val="24"/>
          <w:szCs w:val="24"/>
        </w:rPr>
        <w:t>8</w:t>
      </w:r>
      <w:bookmarkStart w:id="0" w:name="_GoBack"/>
      <w:bookmarkEnd w:id="0"/>
      <w:r>
        <w:rPr>
          <w:rFonts w:ascii="Times New Roman" w:hAnsi="Times New Roman"/>
          <w:noProof/>
          <w:sz w:val="24"/>
          <w:szCs w:val="24"/>
        </w:rPr>
        <w:t>]</w:t>
      </w:r>
      <w:r w:rsidRPr="002C4A84">
        <w:rPr>
          <w:rFonts w:ascii="Times New Roman" w:hAnsi="Times New Roman"/>
          <w:sz w:val="24"/>
          <w:szCs w:val="24"/>
        </w:rPr>
        <w:t>. This research assay provides several advantages over whole genome methods</w:t>
      </w:r>
      <w:r w:rsidRPr="002C4A84">
        <w:rPr>
          <w:sz w:val="24"/>
          <w:szCs w:val="24"/>
        </w:rPr>
        <w:t xml:space="preserve"> </w:t>
      </w:r>
      <w:r w:rsidRPr="002C4A84">
        <w:rPr>
          <w:noProof/>
          <w:sz w:val="24"/>
          <w:szCs w:val="24"/>
        </w:rPr>
        <w:t>[</w:t>
      </w:r>
      <w:r w:rsidR="00CC5F19">
        <w:rPr>
          <w:rFonts w:ascii="Times New Roman" w:hAnsi="Times New Roman"/>
          <w:noProof/>
          <w:sz w:val="24"/>
          <w:szCs w:val="24"/>
        </w:rPr>
        <w:t>5</w:t>
      </w:r>
      <w:r w:rsidRPr="002C4A84">
        <w:rPr>
          <w:noProof/>
          <w:sz w:val="24"/>
          <w:szCs w:val="24"/>
        </w:rPr>
        <w:t>]</w:t>
      </w:r>
      <w:r w:rsidRPr="002C4A84">
        <w:rPr>
          <w:sz w:val="24"/>
          <w:szCs w:val="24"/>
        </w:rPr>
        <w:t xml:space="preserve"> </w:t>
      </w:r>
      <w:r>
        <w:rPr>
          <w:rFonts w:ascii="Times New Roman" w:hAnsi="Times New Roman"/>
          <w:noProof/>
          <w:sz w:val="24"/>
          <w:szCs w:val="24"/>
        </w:rPr>
        <w:t>[</w:t>
      </w:r>
      <w:r w:rsidR="00CC5F19">
        <w:rPr>
          <w:rFonts w:ascii="Times New Roman" w:hAnsi="Times New Roman"/>
          <w:noProof/>
          <w:sz w:val="24"/>
          <w:szCs w:val="24"/>
        </w:rPr>
        <w:t>2</w:t>
      </w:r>
      <w:r>
        <w:rPr>
          <w:rFonts w:ascii="Times New Roman" w:hAnsi="Times New Roman"/>
          <w:noProof/>
          <w:sz w:val="24"/>
          <w:szCs w:val="24"/>
        </w:rPr>
        <w:t>]</w:t>
      </w:r>
      <w:r w:rsidRPr="002C4A84">
        <w:rPr>
          <w:sz w:val="24"/>
          <w:szCs w:val="24"/>
        </w:rPr>
        <w:t xml:space="preserve"> </w:t>
      </w:r>
      <w:r>
        <w:rPr>
          <w:rFonts w:ascii="Times New Roman" w:hAnsi="Times New Roman"/>
          <w:noProof/>
          <w:sz w:val="24"/>
          <w:szCs w:val="24"/>
        </w:rPr>
        <w:t>[</w:t>
      </w:r>
      <w:r w:rsidR="00CC5F19">
        <w:rPr>
          <w:rFonts w:ascii="Times New Roman" w:hAnsi="Times New Roman"/>
          <w:noProof/>
          <w:sz w:val="24"/>
          <w:szCs w:val="24"/>
        </w:rPr>
        <w:t>3</w:t>
      </w:r>
      <w:r>
        <w:rPr>
          <w:rFonts w:ascii="Times New Roman" w:hAnsi="Times New Roman"/>
          <w:noProof/>
          <w:sz w:val="24"/>
          <w:szCs w:val="24"/>
        </w:rPr>
        <w:t>]</w:t>
      </w:r>
      <w:r w:rsidRPr="002C4A84">
        <w:rPr>
          <w:rFonts w:ascii="Times New Roman" w:hAnsi="Times New Roman"/>
          <w:sz w:val="24"/>
          <w:szCs w:val="24"/>
        </w:rPr>
        <w:t xml:space="preserve"> for which the majority of sequence might not be used for phylogenetic clustering analysis, including amplification of multiple genotypes, low limit of detection </w:t>
      </w:r>
      <w:r>
        <w:rPr>
          <w:rFonts w:ascii="Times New Roman" w:hAnsi="Times New Roman"/>
          <w:noProof/>
          <w:sz w:val="24"/>
          <w:szCs w:val="24"/>
        </w:rPr>
        <w:t>[</w:t>
      </w:r>
      <w:r w:rsidR="00CC5F19">
        <w:rPr>
          <w:rFonts w:ascii="Times New Roman" w:hAnsi="Times New Roman"/>
          <w:noProof/>
          <w:sz w:val="24"/>
          <w:szCs w:val="24"/>
        </w:rPr>
        <w:t>5</w:t>
      </w:r>
      <w:r>
        <w:rPr>
          <w:rFonts w:ascii="Times New Roman" w:hAnsi="Times New Roman"/>
          <w:noProof/>
          <w:sz w:val="24"/>
          <w:szCs w:val="24"/>
        </w:rPr>
        <w:t xml:space="preserve">, </w:t>
      </w:r>
      <w:r w:rsidR="00CC5F19">
        <w:rPr>
          <w:rFonts w:ascii="Times New Roman" w:hAnsi="Times New Roman"/>
          <w:noProof/>
          <w:sz w:val="24"/>
          <w:szCs w:val="24"/>
        </w:rPr>
        <w:t>4</w:t>
      </w:r>
      <w:r>
        <w:rPr>
          <w:rFonts w:ascii="Times New Roman" w:hAnsi="Times New Roman"/>
          <w:noProof/>
          <w:sz w:val="24"/>
          <w:szCs w:val="24"/>
        </w:rPr>
        <w:t>]</w:t>
      </w:r>
      <w:r w:rsidRPr="002C4A84">
        <w:rPr>
          <w:rFonts w:ascii="Times New Roman" w:hAnsi="Times New Roman"/>
          <w:sz w:val="24"/>
          <w:szCs w:val="24"/>
        </w:rPr>
        <w:t xml:space="preserve">. The full genome is more expensive due to the multiple sequencing reactions needed and more technically challenging due to long reaction times. </w:t>
      </w:r>
    </w:p>
    <w:p w:rsidR="00CC5F19" w:rsidRDefault="00CC5F19"/>
    <w:p w:rsidR="00CC5F19" w:rsidRPr="00CC5F19" w:rsidRDefault="00CC5F19">
      <w:pPr>
        <w:rPr>
          <w:rFonts w:ascii="Times New Roman" w:hAnsi="Times New Roman"/>
          <w:b/>
          <w:sz w:val="28"/>
        </w:rPr>
      </w:pPr>
      <w:r w:rsidRPr="00CC5F19">
        <w:rPr>
          <w:rFonts w:ascii="Times New Roman" w:hAnsi="Times New Roman"/>
          <w:b/>
          <w:sz w:val="28"/>
        </w:rPr>
        <w:t>References</w:t>
      </w:r>
    </w:p>
    <w:p w:rsidR="00CC5F19" w:rsidRDefault="00CC5F19"/>
    <w:p w:rsidR="00CC5F19" w:rsidRPr="00814521" w:rsidRDefault="00CC5F19" w:rsidP="00CC5F19">
      <w:pPr>
        <w:pStyle w:val="EndNoteBibliography"/>
        <w:spacing w:after="0"/>
      </w:pPr>
      <w:bookmarkStart w:id="1" w:name="_ENREF_51"/>
      <w:r>
        <w:t>1</w:t>
      </w:r>
      <w:r w:rsidRPr="00814521">
        <w:tab/>
        <w:t>Smith DB, Simmonds P. Characteristics of nucleotide substitution in the hepatitis C virus genome: constraints on sequence change in coding regions at both ends of the genome. Journal of molecular evolution. 1997;45(3):238-46. Epub 1997/09/26. PubMed PMID: 9302317.</w:t>
      </w:r>
      <w:bookmarkEnd w:id="1"/>
    </w:p>
    <w:p w:rsidR="00CC5F19" w:rsidRPr="00814521" w:rsidRDefault="00CC5F19" w:rsidP="00CC5F19">
      <w:pPr>
        <w:pStyle w:val="EndNoteBibliography"/>
        <w:spacing w:after="0"/>
      </w:pPr>
      <w:bookmarkStart w:id="2" w:name="_ENREF_52"/>
      <w:r>
        <w:t>2</w:t>
      </w:r>
      <w:r w:rsidRPr="00814521">
        <w:tab/>
        <w:t>Lu L, Li C, Yuan J, Lu T, Okamoto H, Murphy DG. Full-length genome sequences of five hepatitis C virus isolates representing subtypes 3g, 3h, 3i and 3k, and a unique genotype 3 variant. The Journal of general virology. 2013;94(Pt 3):543-8. Epub 2012/11/16. doi: 10.1099/vir.0.049668-0. PubMed PMID: 23152370; PubMed Central PMCID: PMC3709609.</w:t>
      </w:r>
      <w:bookmarkEnd w:id="2"/>
    </w:p>
    <w:p w:rsidR="00CC5F19" w:rsidRPr="00814521" w:rsidRDefault="00CC5F19" w:rsidP="00CC5F19">
      <w:pPr>
        <w:pStyle w:val="EndNoteBibliography"/>
        <w:spacing w:after="0"/>
      </w:pPr>
      <w:bookmarkStart w:id="3" w:name="_ENREF_53"/>
      <w:r>
        <w:t>3</w:t>
      </w:r>
      <w:r w:rsidRPr="00814521">
        <w:tab/>
        <w:t>Li C, Lu L, Zhang X, Murphy D. Entire genome sequences of two new HCV subtypes, 6r and 6s, and characterization of unique HVR1 variation patterns within genotype 6. Journal of viral hepatitis. 2009;16(6):406-17. Epub 2009/03/14. doi: 10.1111/j.1365-2893.2009.01086.x. PubMed PMID: 19281488.</w:t>
      </w:r>
      <w:bookmarkEnd w:id="3"/>
    </w:p>
    <w:p w:rsidR="00CC5F19" w:rsidRPr="00814521" w:rsidRDefault="00CC5F19" w:rsidP="00CC5F19">
      <w:pPr>
        <w:pStyle w:val="EndNoteBibliography"/>
        <w:spacing w:after="0"/>
      </w:pPr>
      <w:bookmarkStart w:id="4" w:name="_ENREF_54"/>
      <w:r>
        <w:t>4</w:t>
      </w:r>
      <w:r w:rsidRPr="00814521">
        <w:tab/>
        <w:t>Grebely J, Pham ST, Matthews GV, Petoumenos K, Bull RA, Yeung B, et al. Hepatitis C virus reinfection and superinfection among treated and untreated participants with recent infection. Hepatology. 2012;55(4):1058-69. Epub 2011/10/28. doi: 10.1002/hep.24754. PubMed PMID: 22031335; PubMed Central PMCID: PMC3310282.</w:t>
      </w:r>
      <w:bookmarkEnd w:id="4"/>
    </w:p>
    <w:p w:rsidR="00CC5F19" w:rsidRPr="00CC5F19" w:rsidRDefault="00CC5F19" w:rsidP="00CC5F19">
      <w:pPr>
        <w:spacing w:after="0" w:line="240" w:lineRule="auto"/>
        <w:jc w:val="both"/>
        <w:rPr>
          <w:rFonts w:ascii="Calibri" w:hAnsi="Calibri"/>
          <w:noProof/>
          <w:lang w:val="en-US"/>
        </w:rPr>
      </w:pPr>
      <w:bookmarkStart w:id="5" w:name="_ENREF_12"/>
      <w:r>
        <w:rPr>
          <w:rFonts w:ascii="Calibri" w:hAnsi="Calibri"/>
          <w:noProof/>
          <w:lang w:val="en-US"/>
        </w:rPr>
        <w:t>5</w:t>
      </w:r>
      <w:r w:rsidRPr="00CC5F19">
        <w:rPr>
          <w:rFonts w:ascii="Calibri" w:hAnsi="Calibri"/>
          <w:noProof/>
          <w:lang w:val="en-US"/>
        </w:rPr>
        <w:tab/>
        <w:t xml:space="preserve">Zhang EZ, Bartels DJ, Frantz JD, Seepersaud S, Lippke JA, Shames B, et al. Development of a sensitive RT-PCR method for amplifying and sequencing near full-length HCV genotype 1 RNA from </w:t>
      </w:r>
      <w:r w:rsidRPr="00CC5F19">
        <w:rPr>
          <w:rFonts w:ascii="Calibri" w:hAnsi="Calibri"/>
          <w:noProof/>
          <w:lang w:val="en-US"/>
        </w:rPr>
        <w:lastRenderedPageBreak/>
        <w:t>patient samples. Virology journal. 2013;10:53. Epub 2013/02/14. doi: 10.1186/1743-422X-10-53. PubMed PMID: 23402332; PubMed Central PMCID: PMC3575352.</w:t>
      </w:r>
      <w:bookmarkEnd w:id="5"/>
    </w:p>
    <w:p w:rsidR="00CC5F19" w:rsidRPr="00CC5F19" w:rsidRDefault="00CC5F19" w:rsidP="00CC5F19">
      <w:pPr>
        <w:spacing w:after="0" w:line="240" w:lineRule="auto"/>
        <w:jc w:val="both"/>
        <w:rPr>
          <w:rFonts w:ascii="Calibri" w:hAnsi="Calibri"/>
          <w:noProof/>
          <w:lang w:val="en-US"/>
        </w:rPr>
      </w:pPr>
      <w:bookmarkStart w:id="6" w:name="_ENREF_15"/>
      <w:r>
        <w:rPr>
          <w:rFonts w:ascii="Calibri" w:hAnsi="Calibri"/>
          <w:noProof/>
          <w:lang w:val="en-US"/>
        </w:rPr>
        <w:t>6</w:t>
      </w:r>
      <w:r w:rsidRPr="00CC5F19">
        <w:rPr>
          <w:rFonts w:ascii="Calibri" w:hAnsi="Calibri"/>
          <w:noProof/>
          <w:lang w:val="en-US"/>
        </w:rPr>
        <w:tab/>
        <w:t>Murphy DG, Willems B, Deschenes M, Hilzenrat N, Mousseau R, Sabbah S. Use of sequence analysis of the NS5B region for routine genotyping of hepatitis C virus with reference to C/E1 and 5' untranslated region sequences. Journal of clinical microbiology. 2007;45(4):1102-12. Epub 2007/02/09. doi: 10.1128/JCM.02366-06. PubMed PMID: 17287328; PubMed Central PMCID: PMC1865836.</w:t>
      </w:r>
      <w:bookmarkEnd w:id="6"/>
    </w:p>
    <w:p w:rsidR="00CC5F19" w:rsidRPr="00CC5F19" w:rsidRDefault="00CC5F19" w:rsidP="00CC5F19">
      <w:pPr>
        <w:spacing w:after="0" w:line="240" w:lineRule="auto"/>
        <w:jc w:val="both"/>
        <w:rPr>
          <w:rFonts w:ascii="Calibri" w:hAnsi="Calibri"/>
          <w:noProof/>
          <w:lang w:val="en-US"/>
        </w:rPr>
      </w:pPr>
      <w:bookmarkStart w:id="7" w:name="_ENREF_40"/>
      <w:r>
        <w:rPr>
          <w:rFonts w:ascii="Calibri" w:hAnsi="Calibri"/>
          <w:noProof/>
          <w:lang w:val="en-US"/>
        </w:rPr>
        <w:t>7</w:t>
      </w:r>
      <w:r w:rsidRPr="00CC5F19">
        <w:rPr>
          <w:rFonts w:ascii="Calibri" w:hAnsi="Calibri"/>
          <w:noProof/>
          <w:lang w:val="en-US"/>
        </w:rPr>
        <w:t>.</w:t>
      </w:r>
      <w:r w:rsidRPr="00CC5F19">
        <w:rPr>
          <w:rFonts w:ascii="Calibri" w:hAnsi="Calibri"/>
          <w:noProof/>
          <w:lang w:val="en-US"/>
        </w:rPr>
        <w:tab/>
        <w:t>Cai Q, Zhao Z, Liu Y, Shao X, Gao Z. Comparison of three different HCV genotyping methods: core, NS5B sequence analysis and line probe assay. International journal of molecular medicine. 2013;31(2):347-52. Epub 2012/12/18. doi: 10.3892/ijmm.2012.1209. PubMed PMID: 23241873.</w:t>
      </w:r>
      <w:bookmarkEnd w:id="7"/>
    </w:p>
    <w:p w:rsidR="00CC5F19" w:rsidRPr="00CC5F19" w:rsidRDefault="00CC5F19" w:rsidP="00CC5F19">
      <w:pPr>
        <w:spacing w:after="0" w:line="240" w:lineRule="auto"/>
        <w:jc w:val="both"/>
        <w:rPr>
          <w:rFonts w:ascii="Calibri" w:hAnsi="Calibri"/>
          <w:noProof/>
          <w:lang w:val="en-US"/>
        </w:rPr>
      </w:pPr>
      <w:bookmarkStart w:id="8" w:name="_ENREF_41"/>
      <w:r>
        <w:rPr>
          <w:rFonts w:ascii="Calibri" w:hAnsi="Calibri"/>
          <w:noProof/>
          <w:lang w:val="en-US"/>
        </w:rPr>
        <w:t>8</w:t>
      </w:r>
      <w:r w:rsidRPr="00CC5F19">
        <w:rPr>
          <w:rFonts w:ascii="Calibri" w:hAnsi="Calibri"/>
          <w:noProof/>
          <w:lang w:val="en-US"/>
        </w:rPr>
        <w:t>.</w:t>
      </w:r>
      <w:r w:rsidRPr="00CC5F19">
        <w:rPr>
          <w:rFonts w:ascii="Calibri" w:hAnsi="Calibri"/>
          <w:noProof/>
          <w:lang w:val="en-US"/>
        </w:rPr>
        <w:tab/>
        <w:t>Avo AP, Agua-Doce I, Andrade A, Padua E. Hepatitis C virus subtyping based on sequencing of the C/E1 and NS5B genomic regions in comparison to a commercially available line probe assay. Journal of medical virology. 2013;85(5):815-22. Epub 2013/03/20. doi: 10.1002/jmv.23545. PubMed PMID: 23508907.</w:t>
      </w:r>
      <w:bookmarkEnd w:id="8"/>
    </w:p>
    <w:p w:rsidR="00CC5F19" w:rsidRDefault="00CC5F19"/>
    <w:p w:rsidR="001719BA" w:rsidRDefault="001719BA">
      <w:r>
        <w:br w:type="page"/>
      </w:r>
    </w:p>
    <w:p w:rsidR="00BD616C" w:rsidRDefault="00BD616C">
      <w:r>
        <w:lastRenderedPageBreak/>
        <w:br w:type="page"/>
      </w:r>
    </w:p>
    <w:p w:rsidR="00BD616C" w:rsidRPr="0004669C" w:rsidRDefault="00BD616C" w:rsidP="00BD616C">
      <w:pPr>
        <w:spacing w:line="480" w:lineRule="auto"/>
        <w:rPr>
          <w:rFonts w:ascii="Times New Roman" w:eastAsiaTheme="minorHAnsi" w:hAnsi="Times New Roman"/>
          <w:sz w:val="24"/>
          <w:szCs w:val="24"/>
        </w:rPr>
      </w:pPr>
      <w:r w:rsidRPr="00321265">
        <w:rPr>
          <w:rFonts w:ascii="Times New Roman" w:eastAsiaTheme="minorHAnsi" w:hAnsi="Times New Roman"/>
          <w:b/>
          <w:sz w:val="24"/>
          <w:szCs w:val="24"/>
        </w:rPr>
        <w:lastRenderedPageBreak/>
        <w:t>S</w:t>
      </w:r>
      <w:r w:rsidR="00ED3887">
        <w:rPr>
          <w:rFonts w:ascii="Times New Roman" w:eastAsiaTheme="minorHAnsi" w:hAnsi="Times New Roman"/>
          <w:b/>
          <w:sz w:val="24"/>
          <w:szCs w:val="24"/>
        </w:rPr>
        <w:t>1 Table</w:t>
      </w:r>
      <w:r w:rsidRPr="00321265">
        <w:rPr>
          <w:rFonts w:ascii="Times New Roman" w:eastAsiaTheme="minorHAnsi" w:hAnsi="Times New Roman"/>
          <w:b/>
          <w:sz w:val="24"/>
          <w:szCs w:val="24"/>
        </w:rPr>
        <w:t>: Primers used for the amplification of HCV region Core-HVR1 and NS5B.</w:t>
      </w:r>
      <w:r w:rsidRPr="0004669C">
        <w:rPr>
          <w:rFonts w:ascii="Times New Roman" w:eastAsiaTheme="minorHAnsi" w:hAnsi="Times New Roman"/>
          <w:sz w:val="24"/>
          <w:szCs w:val="24"/>
        </w:rPr>
        <w:t xml:space="preserve"> Footnotes </w:t>
      </w:r>
      <w:r w:rsidRPr="0004669C">
        <w:rPr>
          <w:rFonts w:ascii="Times New Roman" w:eastAsiaTheme="minorHAnsi" w:hAnsi="Times New Roman"/>
          <w:sz w:val="24"/>
          <w:szCs w:val="24"/>
          <w:vertAlign w:val="superscript"/>
        </w:rPr>
        <w:t>1</w:t>
      </w:r>
      <w:r w:rsidRPr="0004669C">
        <w:rPr>
          <w:rFonts w:ascii="Times New Roman" w:eastAsiaTheme="minorHAnsi" w:hAnsi="Times New Roman"/>
          <w:sz w:val="24"/>
          <w:szCs w:val="24"/>
        </w:rPr>
        <w:t xml:space="preserve">DM101 [7], </w:t>
      </w:r>
      <w:r w:rsidRPr="0004669C">
        <w:rPr>
          <w:rFonts w:ascii="Times New Roman" w:eastAsiaTheme="minorHAnsi" w:hAnsi="Times New Roman"/>
          <w:sz w:val="24"/>
          <w:szCs w:val="24"/>
          <w:vertAlign w:val="superscript"/>
        </w:rPr>
        <w:t>2</w:t>
      </w:r>
      <w:r w:rsidRPr="0004669C">
        <w:rPr>
          <w:rFonts w:ascii="Times New Roman" w:eastAsiaTheme="minorHAnsi" w:hAnsi="Times New Roman"/>
          <w:sz w:val="24"/>
          <w:szCs w:val="24"/>
        </w:rPr>
        <w:t>DM100 [7]</w:t>
      </w:r>
    </w:p>
    <w:tbl>
      <w:tblPr>
        <w:tblpPr w:leftFromText="180" w:rightFromText="180" w:vertAnchor="text" w:horzAnchor="margin" w:tblpX="-226" w:tblpY="7"/>
        <w:tblW w:w="9464" w:type="dxa"/>
        <w:tblLayout w:type="fixed"/>
        <w:tblLook w:val="0000" w:firstRow="0" w:lastRow="0" w:firstColumn="0" w:lastColumn="0" w:noHBand="0" w:noVBand="0"/>
      </w:tblPr>
      <w:tblGrid>
        <w:gridCol w:w="1239"/>
        <w:gridCol w:w="854"/>
        <w:gridCol w:w="1843"/>
        <w:gridCol w:w="1275"/>
        <w:gridCol w:w="4253"/>
      </w:tblGrid>
      <w:tr w:rsidR="00BD616C" w:rsidRPr="0004669C" w:rsidTr="00AC5089">
        <w:trPr>
          <w:trHeight w:val="813"/>
        </w:trPr>
        <w:tc>
          <w:tcPr>
            <w:tcW w:w="1239" w:type="dxa"/>
            <w:tcBorders>
              <w:top w:val="single" w:sz="12" w:space="0" w:color="auto"/>
              <w:bottom w:val="single" w:sz="12" w:space="0" w:color="auto"/>
            </w:tcBorders>
            <w:noWrap/>
            <w:vAlign w:val="bottom"/>
          </w:tcPr>
          <w:p w:rsidR="00BD616C" w:rsidRPr="0004669C" w:rsidRDefault="00BD616C" w:rsidP="00AC5089">
            <w:pPr>
              <w:jc w:val="center"/>
              <w:rPr>
                <w:rFonts w:ascii="Times New Roman" w:eastAsiaTheme="minorHAnsi" w:hAnsi="Times New Roman"/>
                <w:b/>
                <w:sz w:val="20"/>
                <w:szCs w:val="20"/>
              </w:rPr>
            </w:pPr>
            <w:r w:rsidRPr="0004669C">
              <w:rPr>
                <w:rFonts w:ascii="Times New Roman" w:eastAsiaTheme="minorHAnsi" w:hAnsi="Times New Roman"/>
                <w:b/>
                <w:sz w:val="20"/>
                <w:szCs w:val="20"/>
              </w:rPr>
              <w:t>Direction (reaction)</w:t>
            </w:r>
          </w:p>
        </w:tc>
        <w:tc>
          <w:tcPr>
            <w:tcW w:w="854" w:type="dxa"/>
            <w:tcBorders>
              <w:top w:val="single" w:sz="12" w:space="0" w:color="auto"/>
              <w:bottom w:val="single" w:sz="12" w:space="0" w:color="auto"/>
            </w:tcBorders>
            <w:vAlign w:val="bottom"/>
          </w:tcPr>
          <w:p w:rsidR="00BD616C" w:rsidRPr="0004669C" w:rsidRDefault="00BD616C" w:rsidP="00AC5089">
            <w:pPr>
              <w:jc w:val="center"/>
              <w:rPr>
                <w:rFonts w:ascii="Times New Roman" w:eastAsiaTheme="minorHAnsi" w:hAnsi="Times New Roman"/>
                <w:b/>
                <w:sz w:val="20"/>
                <w:szCs w:val="20"/>
              </w:rPr>
            </w:pPr>
            <w:r w:rsidRPr="0004669C">
              <w:rPr>
                <w:rFonts w:ascii="Times New Roman" w:eastAsiaTheme="minorHAnsi" w:hAnsi="Times New Roman"/>
                <w:b/>
                <w:sz w:val="20"/>
                <w:szCs w:val="20"/>
              </w:rPr>
              <w:t>Region</w:t>
            </w:r>
          </w:p>
        </w:tc>
        <w:tc>
          <w:tcPr>
            <w:tcW w:w="1843" w:type="dxa"/>
            <w:tcBorders>
              <w:top w:val="single" w:sz="12" w:space="0" w:color="auto"/>
              <w:bottom w:val="single" w:sz="12" w:space="0" w:color="auto"/>
            </w:tcBorders>
            <w:noWrap/>
            <w:vAlign w:val="bottom"/>
          </w:tcPr>
          <w:p w:rsidR="00BD616C" w:rsidRPr="0004669C" w:rsidRDefault="00BD616C" w:rsidP="00AC5089">
            <w:pPr>
              <w:jc w:val="center"/>
              <w:rPr>
                <w:rFonts w:ascii="Times New Roman" w:eastAsiaTheme="minorHAnsi" w:hAnsi="Times New Roman"/>
                <w:b/>
                <w:sz w:val="20"/>
                <w:szCs w:val="20"/>
              </w:rPr>
            </w:pPr>
            <w:r w:rsidRPr="0004669C">
              <w:rPr>
                <w:rFonts w:ascii="Times New Roman" w:eastAsiaTheme="minorHAnsi" w:hAnsi="Times New Roman"/>
                <w:b/>
                <w:sz w:val="20"/>
                <w:szCs w:val="20"/>
              </w:rPr>
              <w:t>Name</w:t>
            </w:r>
          </w:p>
        </w:tc>
        <w:tc>
          <w:tcPr>
            <w:tcW w:w="1275" w:type="dxa"/>
            <w:tcBorders>
              <w:top w:val="single" w:sz="12" w:space="0" w:color="auto"/>
              <w:bottom w:val="single" w:sz="12" w:space="0" w:color="auto"/>
            </w:tcBorders>
            <w:noWrap/>
            <w:vAlign w:val="bottom"/>
          </w:tcPr>
          <w:p w:rsidR="00BD616C" w:rsidRPr="0004669C" w:rsidRDefault="00BD616C" w:rsidP="00AC5089">
            <w:pPr>
              <w:jc w:val="center"/>
              <w:rPr>
                <w:rFonts w:ascii="Times New Roman" w:eastAsiaTheme="minorHAnsi" w:hAnsi="Times New Roman"/>
                <w:b/>
                <w:sz w:val="20"/>
                <w:szCs w:val="20"/>
              </w:rPr>
            </w:pPr>
            <w:r w:rsidRPr="0004669C">
              <w:rPr>
                <w:rFonts w:ascii="Times New Roman" w:eastAsiaTheme="minorHAnsi" w:hAnsi="Times New Roman"/>
                <w:b/>
                <w:sz w:val="20"/>
                <w:szCs w:val="20"/>
              </w:rPr>
              <w:t>Reference position (H77)</w:t>
            </w:r>
          </w:p>
        </w:tc>
        <w:tc>
          <w:tcPr>
            <w:tcW w:w="4253" w:type="dxa"/>
            <w:tcBorders>
              <w:top w:val="single" w:sz="12" w:space="0" w:color="auto"/>
              <w:bottom w:val="single" w:sz="12" w:space="0" w:color="auto"/>
            </w:tcBorders>
            <w:vAlign w:val="bottom"/>
          </w:tcPr>
          <w:p w:rsidR="00BD616C" w:rsidRPr="0004669C" w:rsidRDefault="00BD616C" w:rsidP="00AC5089">
            <w:pPr>
              <w:jc w:val="center"/>
              <w:rPr>
                <w:rFonts w:ascii="Times New Roman" w:eastAsiaTheme="minorHAnsi" w:hAnsi="Times New Roman"/>
                <w:b/>
                <w:sz w:val="20"/>
                <w:szCs w:val="20"/>
              </w:rPr>
            </w:pPr>
            <w:r w:rsidRPr="0004669C">
              <w:rPr>
                <w:rFonts w:ascii="Times New Roman" w:eastAsiaTheme="minorHAnsi" w:hAnsi="Times New Roman"/>
                <w:b/>
                <w:sz w:val="20"/>
                <w:szCs w:val="20"/>
              </w:rPr>
              <w:t>Sequence</w:t>
            </w:r>
          </w:p>
        </w:tc>
      </w:tr>
      <w:tr w:rsidR="00BD616C" w:rsidRPr="0004669C" w:rsidTr="00AC5089">
        <w:trPr>
          <w:trHeight w:val="267"/>
        </w:trPr>
        <w:tc>
          <w:tcPr>
            <w:tcW w:w="1239" w:type="dxa"/>
            <w:tcBorders>
              <w:top w:val="single" w:sz="12" w:space="0" w:color="auto"/>
            </w:tcBorders>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Forward (1)</w:t>
            </w:r>
          </w:p>
        </w:tc>
        <w:tc>
          <w:tcPr>
            <w:tcW w:w="854" w:type="dxa"/>
            <w:tcBorders>
              <w:top w:val="single" w:sz="12" w:space="0" w:color="auto"/>
            </w:tcBorders>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C</w:t>
            </w:r>
            <w:r>
              <w:rPr>
                <w:rFonts w:ascii="Times New Roman" w:eastAsiaTheme="minorHAnsi" w:hAnsi="Times New Roman"/>
                <w:sz w:val="20"/>
                <w:szCs w:val="20"/>
              </w:rPr>
              <w:t>ore</w:t>
            </w:r>
            <w:r w:rsidRPr="0004669C">
              <w:rPr>
                <w:rFonts w:ascii="Times New Roman" w:eastAsiaTheme="minorHAnsi" w:hAnsi="Times New Roman"/>
                <w:sz w:val="20"/>
                <w:szCs w:val="20"/>
              </w:rPr>
              <w:t>-HVR1</w:t>
            </w:r>
          </w:p>
        </w:tc>
        <w:tc>
          <w:tcPr>
            <w:tcW w:w="1843" w:type="dxa"/>
            <w:tcBorders>
              <w:top w:val="single" w:sz="12" w:space="0" w:color="auto"/>
            </w:tcBorders>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HCVuniv134S22</w:t>
            </w:r>
          </w:p>
        </w:tc>
        <w:tc>
          <w:tcPr>
            <w:tcW w:w="1275" w:type="dxa"/>
            <w:tcBorders>
              <w:top w:val="single" w:sz="12" w:space="0" w:color="auto"/>
            </w:tcBorders>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134→155</w:t>
            </w:r>
          </w:p>
        </w:tc>
        <w:tc>
          <w:tcPr>
            <w:tcW w:w="4253" w:type="dxa"/>
            <w:tcBorders>
              <w:top w:val="single" w:sz="12" w:space="0" w:color="auto"/>
            </w:tcBorders>
            <w:vAlign w:val="center"/>
          </w:tcPr>
          <w:p w:rsidR="00BD616C" w:rsidRPr="0004669C" w:rsidRDefault="00BD616C" w:rsidP="00AC5089">
            <w:pPr>
              <w:spacing w:before="120"/>
              <w:jc w:val="center"/>
              <w:rPr>
                <w:rFonts w:ascii="Times New Roman" w:eastAsiaTheme="minorHAnsi" w:hAnsi="Times New Roman"/>
                <w:sz w:val="20"/>
                <w:szCs w:val="20"/>
                <w:lang w:val="nb-NO"/>
              </w:rPr>
            </w:pPr>
            <w:r w:rsidRPr="0004669C">
              <w:rPr>
                <w:rFonts w:ascii="Times New Roman" w:eastAsiaTheme="minorHAnsi" w:hAnsi="Times New Roman"/>
                <w:sz w:val="20"/>
                <w:szCs w:val="20"/>
                <w:lang w:val="nb-NO"/>
              </w:rPr>
              <w:t>5' AGA GCC ATA GTG GTC TGC GGA A ’3</w:t>
            </w:r>
          </w:p>
        </w:tc>
      </w:tr>
      <w:tr w:rsidR="00BD616C" w:rsidRPr="0004669C" w:rsidTr="00AC5089">
        <w:trPr>
          <w:trHeight w:val="433"/>
        </w:trPr>
        <w:tc>
          <w:tcPr>
            <w:tcW w:w="1239"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Reverse (1)</w:t>
            </w:r>
          </w:p>
        </w:tc>
        <w:tc>
          <w:tcPr>
            <w:tcW w:w="854" w:type="dxa"/>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C</w:t>
            </w:r>
            <w:r>
              <w:rPr>
                <w:rFonts w:ascii="Times New Roman" w:eastAsiaTheme="minorHAnsi" w:hAnsi="Times New Roman"/>
                <w:sz w:val="20"/>
                <w:szCs w:val="20"/>
              </w:rPr>
              <w:t>ore</w:t>
            </w:r>
            <w:r w:rsidRPr="0004669C">
              <w:rPr>
                <w:rFonts w:ascii="Times New Roman" w:eastAsiaTheme="minorHAnsi" w:hAnsi="Times New Roman"/>
                <w:sz w:val="20"/>
                <w:szCs w:val="20"/>
              </w:rPr>
              <w:t>-HVR1</w:t>
            </w:r>
          </w:p>
        </w:tc>
        <w:tc>
          <w:tcPr>
            <w:tcW w:w="1843"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HCVuniv1987A22</w:t>
            </w:r>
          </w:p>
        </w:tc>
        <w:tc>
          <w:tcPr>
            <w:tcW w:w="1275"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1987←2008</w:t>
            </w:r>
          </w:p>
        </w:tc>
        <w:tc>
          <w:tcPr>
            <w:tcW w:w="4253" w:type="dxa"/>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5’ TTC ATC CAB GTR CAR CCR AAC C ‘3</w:t>
            </w:r>
          </w:p>
        </w:tc>
      </w:tr>
      <w:tr w:rsidR="00BD616C" w:rsidRPr="0004669C" w:rsidTr="00AC5089">
        <w:trPr>
          <w:trHeight w:val="209"/>
        </w:trPr>
        <w:tc>
          <w:tcPr>
            <w:tcW w:w="1239"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Forward (2)</w:t>
            </w:r>
          </w:p>
        </w:tc>
        <w:tc>
          <w:tcPr>
            <w:tcW w:w="854" w:type="dxa"/>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C</w:t>
            </w:r>
            <w:r>
              <w:rPr>
                <w:rFonts w:ascii="Times New Roman" w:eastAsiaTheme="minorHAnsi" w:hAnsi="Times New Roman"/>
                <w:sz w:val="20"/>
                <w:szCs w:val="20"/>
              </w:rPr>
              <w:t>ore</w:t>
            </w:r>
            <w:r w:rsidRPr="0004669C">
              <w:rPr>
                <w:rFonts w:ascii="Times New Roman" w:eastAsiaTheme="minorHAnsi" w:hAnsi="Times New Roman"/>
                <w:sz w:val="20"/>
                <w:szCs w:val="20"/>
              </w:rPr>
              <w:t>-HVR1</w:t>
            </w:r>
          </w:p>
        </w:tc>
        <w:tc>
          <w:tcPr>
            <w:tcW w:w="1843"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HCVuniv278S22</w:t>
            </w:r>
          </w:p>
        </w:tc>
        <w:tc>
          <w:tcPr>
            <w:tcW w:w="1275"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278→299</w:t>
            </w:r>
          </w:p>
        </w:tc>
        <w:tc>
          <w:tcPr>
            <w:tcW w:w="4253" w:type="dxa"/>
            <w:vAlign w:val="center"/>
          </w:tcPr>
          <w:p w:rsidR="00BD616C" w:rsidRPr="0004669C" w:rsidRDefault="00BD616C" w:rsidP="00AC5089">
            <w:pPr>
              <w:spacing w:before="120"/>
              <w:jc w:val="center"/>
              <w:rPr>
                <w:rFonts w:ascii="Times New Roman" w:eastAsiaTheme="minorHAnsi" w:hAnsi="Times New Roman"/>
                <w:sz w:val="20"/>
                <w:szCs w:val="20"/>
                <w:lang w:val="nb-NO"/>
              </w:rPr>
            </w:pPr>
            <w:r w:rsidRPr="0004669C">
              <w:rPr>
                <w:rFonts w:ascii="Times New Roman" w:eastAsiaTheme="minorHAnsi" w:hAnsi="Times New Roman"/>
                <w:sz w:val="20"/>
                <w:szCs w:val="20"/>
                <w:lang w:val="nb-NO"/>
              </w:rPr>
              <w:t>5'</w:t>
            </w:r>
            <w:r w:rsidRPr="0004669C">
              <w:rPr>
                <w:rFonts w:ascii="Times New Roman" w:eastAsiaTheme="minorHAnsi" w:hAnsi="Times New Roman"/>
                <w:sz w:val="20"/>
                <w:szCs w:val="20"/>
              </w:rPr>
              <w:t xml:space="preserve"> </w:t>
            </w:r>
            <w:r w:rsidRPr="0004669C">
              <w:rPr>
                <w:rFonts w:ascii="Times New Roman" w:eastAsiaTheme="minorHAnsi" w:hAnsi="Times New Roman"/>
                <w:sz w:val="20"/>
                <w:szCs w:val="20"/>
                <w:lang w:val="nb-NO"/>
              </w:rPr>
              <w:t>GCC TTG TGG TAC TGC CTG ATA G’3</w:t>
            </w:r>
          </w:p>
        </w:tc>
      </w:tr>
      <w:tr w:rsidR="00BD616C" w:rsidRPr="0004669C" w:rsidTr="00AC5089">
        <w:trPr>
          <w:trHeight w:val="209"/>
        </w:trPr>
        <w:tc>
          <w:tcPr>
            <w:tcW w:w="1239"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Reverse (2)</w:t>
            </w:r>
          </w:p>
        </w:tc>
        <w:tc>
          <w:tcPr>
            <w:tcW w:w="854" w:type="dxa"/>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C</w:t>
            </w:r>
            <w:r>
              <w:rPr>
                <w:rFonts w:ascii="Times New Roman" w:eastAsiaTheme="minorHAnsi" w:hAnsi="Times New Roman"/>
                <w:sz w:val="20"/>
                <w:szCs w:val="20"/>
              </w:rPr>
              <w:t>ore</w:t>
            </w:r>
            <w:r w:rsidRPr="0004669C">
              <w:rPr>
                <w:rFonts w:ascii="Times New Roman" w:eastAsiaTheme="minorHAnsi" w:hAnsi="Times New Roman"/>
                <w:sz w:val="20"/>
                <w:szCs w:val="20"/>
              </w:rPr>
              <w:t>-HVR1</w:t>
            </w:r>
          </w:p>
        </w:tc>
        <w:tc>
          <w:tcPr>
            <w:tcW w:w="1843"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HCVuniv1791A20</w:t>
            </w:r>
          </w:p>
        </w:tc>
        <w:tc>
          <w:tcPr>
            <w:tcW w:w="1275"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1791←1811</w:t>
            </w:r>
          </w:p>
        </w:tc>
        <w:tc>
          <w:tcPr>
            <w:tcW w:w="4253" w:type="dxa"/>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5’ GSG TAR TGC CAG CAR TAN GG ‘3</w:t>
            </w:r>
          </w:p>
        </w:tc>
      </w:tr>
      <w:tr w:rsidR="00BD616C" w:rsidRPr="0004669C" w:rsidTr="00AC5089">
        <w:trPr>
          <w:trHeight w:val="209"/>
        </w:trPr>
        <w:tc>
          <w:tcPr>
            <w:tcW w:w="1239"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Forward (1)</w:t>
            </w:r>
          </w:p>
        </w:tc>
        <w:tc>
          <w:tcPr>
            <w:tcW w:w="854" w:type="dxa"/>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NS5B</w:t>
            </w:r>
          </w:p>
        </w:tc>
        <w:tc>
          <w:tcPr>
            <w:tcW w:w="1843"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HCVuniv8250S26</w:t>
            </w:r>
            <w:r w:rsidRPr="0004669C">
              <w:rPr>
                <w:rFonts w:ascii="Times New Roman" w:eastAsiaTheme="minorHAnsi" w:hAnsi="Times New Roman"/>
                <w:sz w:val="20"/>
                <w:szCs w:val="20"/>
                <w:vertAlign w:val="superscript"/>
              </w:rPr>
              <w:t>1</w:t>
            </w:r>
            <w:r w:rsidRPr="0004669C">
              <w:rPr>
                <w:rFonts w:ascii="Times New Roman" w:eastAsiaTheme="minorHAnsi" w:hAnsi="Times New Roman"/>
                <w:sz w:val="20"/>
                <w:szCs w:val="20"/>
              </w:rPr>
              <w:t xml:space="preserve">  </w:t>
            </w:r>
          </w:p>
        </w:tc>
        <w:tc>
          <w:tcPr>
            <w:tcW w:w="1275" w:type="dxa"/>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8250→8275</w:t>
            </w:r>
          </w:p>
        </w:tc>
        <w:tc>
          <w:tcPr>
            <w:tcW w:w="4253" w:type="dxa"/>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5’ TTCTCRTATGAYACCCGCTGYTTTGA ‘3</w:t>
            </w:r>
          </w:p>
        </w:tc>
      </w:tr>
      <w:tr w:rsidR="00BD616C" w:rsidRPr="0004669C" w:rsidTr="00AC5089">
        <w:trPr>
          <w:trHeight w:val="243"/>
        </w:trPr>
        <w:tc>
          <w:tcPr>
            <w:tcW w:w="1239" w:type="dxa"/>
            <w:tcBorders>
              <w:bottom w:val="single" w:sz="12" w:space="0" w:color="auto"/>
            </w:tcBorders>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Reverse (1)</w:t>
            </w:r>
          </w:p>
        </w:tc>
        <w:tc>
          <w:tcPr>
            <w:tcW w:w="854" w:type="dxa"/>
            <w:tcBorders>
              <w:bottom w:val="single" w:sz="12" w:space="0" w:color="auto"/>
            </w:tcBorders>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NS5B</w:t>
            </w:r>
          </w:p>
        </w:tc>
        <w:tc>
          <w:tcPr>
            <w:tcW w:w="1843" w:type="dxa"/>
            <w:tcBorders>
              <w:bottom w:val="single" w:sz="12" w:space="0" w:color="auto"/>
            </w:tcBorders>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HCVuniv8616A23</w:t>
            </w:r>
            <w:r w:rsidRPr="0004669C">
              <w:rPr>
                <w:rFonts w:ascii="Times New Roman" w:eastAsiaTheme="minorHAnsi" w:hAnsi="Times New Roman"/>
                <w:sz w:val="20"/>
                <w:szCs w:val="20"/>
                <w:vertAlign w:val="superscript"/>
              </w:rPr>
              <w:t>2</w:t>
            </w:r>
          </w:p>
        </w:tc>
        <w:tc>
          <w:tcPr>
            <w:tcW w:w="1275" w:type="dxa"/>
            <w:tcBorders>
              <w:bottom w:val="single" w:sz="12" w:space="0" w:color="auto"/>
            </w:tcBorders>
            <w:noWrap/>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8616←8638</w:t>
            </w:r>
          </w:p>
        </w:tc>
        <w:tc>
          <w:tcPr>
            <w:tcW w:w="4253" w:type="dxa"/>
            <w:tcBorders>
              <w:bottom w:val="single" w:sz="12" w:space="0" w:color="auto"/>
            </w:tcBorders>
            <w:vAlign w:val="center"/>
          </w:tcPr>
          <w:p w:rsidR="00BD616C" w:rsidRPr="0004669C" w:rsidRDefault="00BD616C" w:rsidP="00AC5089">
            <w:pPr>
              <w:spacing w:before="120"/>
              <w:jc w:val="center"/>
              <w:rPr>
                <w:rFonts w:ascii="Times New Roman" w:eastAsiaTheme="minorHAnsi" w:hAnsi="Times New Roman"/>
                <w:sz w:val="20"/>
                <w:szCs w:val="20"/>
              </w:rPr>
            </w:pPr>
            <w:r w:rsidRPr="0004669C">
              <w:rPr>
                <w:rFonts w:ascii="Times New Roman" w:eastAsiaTheme="minorHAnsi" w:hAnsi="Times New Roman"/>
                <w:sz w:val="20"/>
                <w:szCs w:val="20"/>
              </w:rPr>
              <w:t>5’ TACCTVGTCATAGCCTCCGTGAA ‘3</w:t>
            </w:r>
          </w:p>
        </w:tc>
      </w:tr>
      <w:tr w:rsidR="00BD616C" w:rsidRPr="0004669C" w:rsidTr="00AC5089">
        <w:tblPrEx>
          <w:tblBorders>
            <w:top w:val="single" w:sz="12" w:space="0" w:color="auto"/>
          </w:tblBorders>
        </w:tblPrEx>
        <w:trPr>
          <w:trHeight w:val="100"/>
        </w:trPr>
        <w:tc>
          <w:tcPr>
            <w:tcW w:w="9464" w:type="dxa"/>
            <w:gridSpan w:val="5"/>
          </w:tcPr>
          <w:p w:rsidR="00BD616C" w:rsidRPr="0004669C" w:rsidRDefault="00BD616C" w:rsidP="00AC5089">
            <w:pPr>
              <w:spacing w:line="480" w:lineRule="auto"/>
              <w:rPr>
                <w:rFonts w:ascii="Times New Roman" w:eastAsiaTheme="minorHAnsi" w:hAnsi="Times New Roman"/>
                <w:sz w:val="20"/>
                <w:szCs w:val="20"/>
              </w:rPr>
            </w:pPr>
          </w:p>
        </w:tc>
      </w:tr>
    </w:tbl>
    <w:p w:rsidR="00B40B01" w:rsidRDefault="0053026F"/>
    <w:sectPr w:rsidR="00B40B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6F" w:rsidRDefault="0053026F" w:rsidP="001719BA">
      <w:pPr>
        <w:spacing w:after="0" w:line="240" w:lineRule="auto"/>
      </w:pPr>
      <w:r>
        <w:separator/>
      </w:r>
    </w:p>
  </w:endnote>
  <w:endnote w:type="continuationSeparator" w:id="0">
    <w:p w:rsidR="0053026F" w:rsidRDefault="0053026F" w:rsidP="0017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6F" w:rsidRDefault="0053026F" w:rsidP="001719BA">
      <w:pPr>
        <w:spacing w:after="0" w:line="240" w:lineRule="auto"/>
      </w:pPr>
      <w:r>
        <w:separator/>
      </w:r>
    </w:p>
  </w:footnote>
  <w:footnote w:type="continuationSeparator" w:id="0">
    <w:p w:rsidR="0053026F" w:rsidRDefault="0053026F" w:rsidP="00171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6C"/>
    <w:rsid w:val="001719BA"/>
    <w:rsid w:val="005120E8"/>
    <w:rsid w:val="0053026F"/>
    <w:rsid w:val="00977D47"/>
    <w:rsid w:val="00BD616C"/>
    <w:rsid w:val="00CC5F19"/>
    <w:rsid w:val="00ED3887"/>
    <w:rsid w:val="00FC4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6C"/>
    <w:rPr>
      <w:rFonts w:eastAsia="Times New Roman" w:cs="Times New Roman"/>
    </w:rPr>
  </w:style>
  <w:style w:type="paragraph" w:styleId="Heading1">
    <w:name w:val="heading 1"/>
    <w:basedOn w:val="Normal"/>
    <w:link w:val="Heading1Char"/>
    <w:uiPriority w:val="9"/>
    <w:qFormat/>
    <w:rsid w:val="00BD616C"/>
    <w:pPr>
      <w:spacing w:before="100" w:beforeAutospacing="1" w:after="100" w:afterAutospacing="1" w:line="240" w:lineRule="auto"/>
      <w:outlineLvl w:val="0"/>
    </w:pPr>
    <w:rPr>
      <w:rFonts w:ascii="Times New Roman" w:hAnsi="Times New Roman"/>
      <w:b/>
      <w:bCs/>
      <w:kern w:val="36"/>
      <w:sz w:val="36"/>
      <w:szCs w:val="36"/>
      <w:lang w:eastAsia="en-AU"/>
    </w:rPr>
  </w:style>
  <w:style w:type="paragraph" w:styleId="Heading2">
    <w:name w:val="heading 2"/>
    <w:basedOn w:val="Normal"/>
    <w:next w:val="Normal"/>
    <w:link w:val="Heading2Char"/>
    <w:uiPriority w:val="9"/>
    <w:unhideWhenUsed/>
    <w:qFormat/>
    <w:rsid w:val="00BD616C"/>
    <w:pPr>
      <w:keepNext/>
      <w:keepLines/>
      <w:spacing w:before="200" w:after="240"/>
      <w:outlineLvl w:val="1"/>
    </w:pPr>
    <w:rPr>
      <w:rFonts w:ascii="Times New Roman" w:eastAsiaTheme="majorEastAsia" w:hAnsi="Times New Roman"/>
      <w:b/>
      <w:bCs/>
      <w:sz w:val="32"/>
      <w:szCs w:val="32"/>
    </w:rPr>
  </w:style>
  <w:style w:type="paragraph" w:styleId="Heading3">
    <w:name w:val="heading 3"/>
    <w:basedOn w:val="Normal"/>
    <w:next w:val="Normal"/>
    <w:link w:val="Heading3Char"/>
    <w:uiPriority w:val="9"/>
    <w:unhideWhenUsed/>
    <w:qFormat/>
    <w:rsid w:val="00BD616C"/>
    <w:pPr>
      <w:keepNext/>
      <w:keepLines/>
      <w:spacing w:before="200" w:after="240"/>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16C"/>
    <w:rPr>
      <w:rFonts w:ascii="Times New Roman" w:eastAsia="Times New Roman" w:hAnsi="Times New Roman" w:cs="Times New Roman"/>
      <w:b/>
      <w:bCs/>
      <w:kern w:val="36"/>
      <w:sz w:val="36"/>
      <w:szCs w:val="36"/>
      <w:lang w:eastAsia="en-AU"/>
    </w:rPr>
  </w:style>
  <w:style w:type="character" w:customStyle="1" w:styleId="Heading2Char">
    <w:name w:val="Heading 2 Char"/>
    <w:basedOn w:val="DefaultParagraphFont"/>
    <w:link w:val="Heading2"/>
    <w:uiPriority w:val="9"/>
    <w:rsid w:val="00BD616C"/>
    <w:rPr>
      <w:rFonts w:ascii="Times New Roman" w:eastAsiaTheme="majorEastAsia" w:hAnsi="Times New Roman" w:cs="Times New Roman"/>
      <w:b/>
      <w:bCs/>
      <w:sz w:val="32"/>
      <w:szCs w:val="32"/>
    </w:rPr>
  </w:style>
  <w:style w:type="character" w:customStyle="1" w:styleId="Heading3Char">
    <w:name w:val="Heading 3 Char"/>
    <w:basedOn w:val="DefaultParagraphFont"/>
    <w:link w:val="Heading3"/>
    <w:uiPriority w:val="9"/>
    <w:rsid w:val="00BD616C"/>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1719B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719BA"/>
    <w:pPr>
      <w:spacing w:after="100"/>
    </w:pPr>
  </w:style>
  <w:style w:type="paragraph" w:styleId="TOC2">
    <w:name w:val="toc 2"/>
    <w:basedOn w:val="Normal"/>
    <w:next w:val="Normal"/>
    <w:autoRedefine/>
    <w:uiPriority w:val="39"/>
    <w:unhideWhenUsed/>
    <w:rsid w:val="001719BA"/>
    <w:pPr>
      <w:spacing w:after="100"/>
      <w:ind w:left="220"/>
    </w:pPr>
  </w:style>
  <w:style w:type="paragraph" w:styleId="TOC3">
    <w:name w:val="toc 3"/>
    <w:basedOn w:val="Normal"/>
    <w:next w:val="Normal"/>
    <w:autoRedefine/>
    <w:uiPriority w:val="39"/>
    <w:unhideWhenUsed/>
    <w:rsid w:val="001719BA"/>
    <w:pPr>
      <w:spacing w:after="100"/>
      <w:ind w:left="440"/>
    </w:pPr>
  </w:style>
  <w:style w:type="character" w:styleId="Hyperlink">
    <w:name w:val="Hyperlink"/>
    <w:basedOn w:val="DefaultParagraphFont"/>
    <w:uiPriority w:val="99"/>
    <w:unhideWhenUsed/>
    <w:rsid w:val="001719BA"/>
    <w:rPr>
      <w:color w:val="0000FF" w:themeColor="hyperlink"/>
      <w:u w:val="single"/>
    </w:rPr>
  </w:style>
  <w:style w:type="paragraph" w:styleId="BalloonText">
    <w:name w:val="Balloon Text"/>
    <w:basedOn w:val="Normal"/>
    <w:link w:val="BalloonTextChar"/>
    <w:uiPriority w:val="99"/>
    <w:semiHidden/>
    <w:unhideWhenUsed/>
    <w:rsid w:val="0017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BA"/>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1719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BA"/>
    <w:rPr>
      <w:rFonts w:eastAsia="Times New Roman" w:cs="Times New Roman"/>
      <w:sz w:val="20"/>
      <w:szCs w:val="20"/>
    </w:rPr>
  </w:style>
  <w:style w:type="character" w:styleId="EndnoteReference">
    <w:name w:val="endnote reference"/>
    <w:basedOn w:val="DefaultParagraphFont"/>
    <w:uiPriority w:val="99"/>
    <w:semiHidden/>
    <w:unhideWhenUsed/>
    <w:rsid w:val="001719BA"/>
    <w:rPr>
      <w:vertAlign w:val="superscript"/>
    </w:rPr>
  </w:style>
  <w:style w:type="paragraph" w:customStyle="1" w:styleId="EndNoteBibliography">
    <w:name w:val="EndNote Bibliography"/>
    <w:basedOn w:val="Normal"/>
    <w:link w:val="EndNoteBibliographyChar"/>
    <w:rsid w:val="00CC5F1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C5F19"/>
    <w:rPr>
      <w:rFonts w:ascii="Calibri" w:eastAsia="Times New Roman"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6C"/>
    <w:rPr>
      <w:rFonts w:eastAsia="Times New Roman" w:cs="Times New Roman"/>
    </w:rPr>
  </w:style>
  <w:style w:type="paragraph" w:styleId="Heading1">
    <w:name w:val="heading 1"/>
    <w:basedOn w:val="Normal"/>
    <w:link w:val="Heading1Char"/>
    <w:uiPriority w:val="9"/>
    <w:qFormat/>
    <w:rsid w:val="00BD616C"/>
    <w:pPr>
      <w:spacing w:before="100" w:beforeAutospacing="1" w:after="100" w:afterAutospacing="1" w:line="240" w:lineRule="auto"/>
      <w:outlineLvl w:val="0"/>
    </w:pPr>
    <w:rPr>
      <w:rFonts w:ascii="Times New Roman" w:hAnsi="Times New Roman"/>
      <w:b/>
      <w:bCs/>
      <w:kern w:val="36"/>
      <w:sz w:val="36"/>
      <w:szCs w:val="36"/>
      <w:lang w:eastAsia="en-AU"/>
    </w:rPr>
  </w:style>
  <w:style w:type="paragraph" w:styleId="Heading2">
    <w:name w:val="heading 2"/>
    <w:basedOn w:val="Normal"/>
    <w:next w:val="Normal"/>
    <w:link w:val="Heading2Char"/>
    <w:uiPriority w:val="9"/>
    <w:unhideWhenUsed/>
    <w:qFormat/>
    <w:rsid w:val="00BD616C"/>
    <w:pPr>
      <w:keepNext/>
      <w:keepLines/>
      <w:spacing w:before="200" w:after="240"/>
      <w:outlineLvl w:val="1"/>
    </w:pPr>
    <w:rPr>
      <w:rFonts w:ascii="Times New Roman" w:eastAsiaTheme="majorEastAsia" w:hAnsi="Times New Roman"/>
      <w:b/>
      <w:bCs/>
      <w:sz w:val="32"/>
      <w:szCs w:val="32"/>
    </w:rPr>
  </w:style>
  <w:style w:type="paragraph" w:styleId="Heading3">
    <w:name w:val="heading 3"/>
    <w:basedOn w:val="Normal"/>
    <w:next w:val="Normal"/>
    <w:link w:val="Heading3Char"/>
    <w:uiPriority w:val="9"/>
    <w:unhideWhenUsed/>
    <w:qFormat/>
    <w:rsid w:val="00BD616C"/>
    <w:pPr>
      <w:keepNext/>
      <w:keepLines/>
      <w:spacing w:before="200" w:after="240"/>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16C"/>
    <w:rPr>
      <w:rFonts w:ascii="Times New Roman" w:eastAsia="Times New Roman" w:hAnsi="Times New Roman" w:cs="Times New Roman"/>
      <w:b/>
      <w:bCs/>
      <w:kern w:val="36"/>
      <w:sz w:val="36"/>
      <w:szCs w:val="36"/>
      <w:lang w:eastAsia="en-AU"/>
    </w:rPr>
  </w:style>
  <w:style w:type="character" w:customStyle="1" w:styleId="Heading2Char">
    <w:name w:val="Heading 2 Char"/>
    <w:basedOn w:val="DefaultParagraphFont"/>
    <w:link w:val="Heading2"/>
    <w:uiPriority w:val="9"/>
    <w:rsid w:val="00BD616C"/>
    <w:rPr>
      <w:rFonts w:ascii="Times New Roman" w:eastAsiaTheme="majorEastAsia" w:hAnsi="Times New Roman" w:cs="Times New Roman"/>
      <w:b/>
      <w:bCs/>
      <w:sz w:val="32"/>
      <w:szCs w:val="32"/>
    </w:rPr>
  </w:style>
  <w:style w:type="character" w:customStyle="1" w:styleId="Heading3Char">
    <w:name w:val="Heading 3 Char"/>
    <w:basedOn w:val="DefaultParagraphFont"/>
    <w:link w:val="Heading3"/>
    <w:uiPriority w:val="9"/>
    <w:rsid w:val="00BD616C"/>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1719B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1719BA"/>
    <w:pPr>
      <w:spacing w:after="100"/>
    </w:pPr>
  </w:style>
  <w:style w:type="paragraph" w:styleId="TOC2">
    <w:name w:val="toc 2"/>
    <w:basedOn w:val="Normal"/>
    <w:next w:val="Normal"/>
    <w:autoRedefine/>
    <w:uiPriority w:val="39"/>
    <w:unhideWhenUsed/>
    <w:rsid w:val="001719BA"/>
    <w:pPr>
      <w:spacing w:after="100"/>
      <w:ind w:left="220"/>
    </w:pPr>
  </w:style>
  <w:style w:type="paragraph" w:styleId="TOC3">
    <w:name w:val="toc 3"/>
    <w:basedOn w:val="Normal"/>
    <w:next w:val="Normal"/>
    <w:autoRedefine/>
    <w:uiPriority w:val="39"/>
    <w:unhideWhenUsed/>
    <w:rsid w:val="001719BA"/>
    <w:pPr>
      <w:spacing w:after="100"/>
      <w:ind w:left="440"/>
    </w:pPr>
  </w:style>
  <w:style w:type="character" w:styleId="Hyperlink">
    <w:name w:val="Hyperlink"/>
    <w:basedOn w:val="DefaultParagraphFont"/>
    <w:uiPriority w:val="99"/>
    <w:unhideWhenUsed/>
    <w:rsid w:val="001719BA"/>
    <w:rPr>
      <w:color w:val="0000FF" w:themeColor="hyperlink"/>
      <w:u w:val="single"/>
    </w:rPr>
  </w:style>
  <w:style w:type="paragraph" w:styleId="BalloonText">
    <w:name w:val="Balloon Text"/>
    <w:basedOn w:val="Normal"/>
    <w:link w:val="BalloonTextChar"/>
    <w:uiPriority w:val="99"/>
    <w:semiHidden/>
    <w:unhideWhenUsed/>
    <w:rsid w:val="00171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BA"/>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1719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BA"/>
    <w:rPr>
      <w:rFonts w:eastAsia="Times New Roman" w:cs="Times New Roman"/>
      <w:sz w:val="20"/>
      <w:szCs w:val="20"/>
    </w:rPr>
  </w:style>
  <w:style w:type="character" w:styleId="EndnoteReference">
    <w:name w:val="endnote reference"/>
    <w:basedOn w:val="DefaultParagraphFont"/>
    <w:uiPriority w:val="99"/>
    <w:semiHidden/>
    <w:unhideWhenUsed/>
    <w:rsid w:val="001719BA"/>
    <w:rPr>
      <w:vertAlign w:val="superscript"/>
    </w:rPr>
  </w:style>
  <w:style w:type="paragraph" w:customStyle="1" w:styleId="EndNoteBibliography">
    <w:name w:val="EndNote Bibliography"/>
    <w:basedOn w:val="Normal"/>
    <w:link w:val="EndNoteBibliographyChar"/>
    <w:rsid w:val="00CC5F1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C5F19"/>
    <w:rPr>
      <w:rFonts w:ascii="Calibri" w:eastAsia="Times New Roman"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4073-EDCA-4086-A04B-81E31CE3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Lamoury</dc:creator>
  <cp:lastModifiedBy>hrdeveau</cp:lastModifiedBy>
  <cp:revision>2</cp:revision>
  <dcterms:created xsi:type="dcterms:W3CDTF">2015-07-09T18:45:00Z</dcterms:created>
  <dcterms:modified xsi:type="dcterms:W3CDTF">2015-07-09T18:45:00Z</dcterms:modified>
</cp:coreProperties>
</file>