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18" w:rsidRDefault="00945A02" w:rsidP="00D07F18">
      <w:pPr>
        <w:rPr>
          <w:rFonts w:cs="Arial"/>
          <w:szCs w:val="24"/>
        </w:rPr>
      </w:pPr>
      <w:r>
        <w:rPr>
          <w:rFonts w:cs="Arial"/>
          <w:b/>
          <w:szCs w:val="24"/>
        </w:rPr>
        <w:t>Supplementary Figures</w:t>
      </w:r>
    </w:p>
    <w:p w:rsidR="00945A02" w:rsidRPr="00945A02" w:rsidRDefault="00945A02" w:rsidP="00D07F18">
      <w:pPr>
        <w:rPr>
          <w:rFonts w:cs="Arial"/>
          <w:szCs w:val="24"/>
        </w:rPr>
      </w:pPr>
      <w:r w:rsidRPr="00945A02">
        <w:rPr>
          <w:rFonts w:cs="Arial"/>
          <w:b/>
          <w:noProof/>
          <w:szCs w:val="24"/>
        </w:rPr>
        <w:drawing>
          <wp:anchor distT="0" distB="0" distL="114300" distR="114300" simplePos="0" relativeHeight="251659264" behindDoc="0" locked="0" layoutInCell="1" allowOverlap="1" wp14:anchorId="661085B9" wp14:editId="22E70A1D">
            <wp:simplePos x="0" y="0"/>
            <wp:positionH relativeFrom="margin">
              <wp:posOffset>1576125</wp:posOffset>
            </wp:positionH>
            <wp:positionV relativeFrom="margin">
              <wp:posOffset>571500</wp:posOffset>
            </wp:positionV>
            <wp:extent cx="2771775" cy="2390775"/>
            <wp:effectExtent l="0" t="0" r="9525" b="9525"/>
            <wp:wrapSquare wrapText="bothSides"/>
            <wp:docPr id="28717" name="Picture 28717" descr="C:\Users\3DsCMOS\Desktop\PLOS_ONE_figures\TIFF\Suppl_Figure_TIFF\Suppl_fig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sCMOS\Desktop\PLOS_ONE_figures\TIFF\Suppl_Figure_TIFF\Suppl_fig4-0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71775" cy="2390775"/>
                    </a:xfrm>
                    <a:prstGeom prst="rect">
                      <a:avLst/>
                    </a:prstGeom>
                    <a:noFill/>
                    <a:ln>
                      <a:noFill/>
                    </a:ln>
                  </pic:spPr>
                </pic:pic>
              </a:graphicData>
            </a:graphic>
          </wp:anchor>
        </w:drawing>
      </w:r>
    </w:p>
    <w:p w:rsidR="00D07F18" w:rsidRPr="00945A02" w:rsidRDefault="00D07F18" w:rsidP="00D07F18">
      <w:pPr>
        <w:rPr>
          <w:rFonts w:cs="Arial"/>
          <w:szCs w:val="24"/>
        </w:rPr>
      </w:pPr>
    </w:p>
    <w:p w:rsidR="00D07F18" w:rsidRPr="00945A02" w:rsidRDefault="00D07F18" w:rsidP="00D07F18">
      <w:pPr>
        <w:rPr>
          <w:rFonts w:cs="Arial"/>
          <w:szCs w:val="24"/>
        </w:rPr>
      </w:pPr>
    </w:p>
    <w:p w:rsidR="00D07F18" w:rsidRPr="00945A02" w:rsidRDefault="00D07F18" w:rsidP="00D07F18">
      <w:pPr>
        <w:rPr>
          <w:rFonts w:cs="Arial"/>
          <w:szCs w:val="24"/>
        </w:rPr>
      </w:pPr>
    </w:p>
    <w:p w:rsidR="00D07F18" w:rsidRPr="00945A02" w:rsidRDefault="00D07F18" w:rsidP="00D07F18">
      <w:pPr>
        <w:rPr>
          <w:rFonts w:cs="Arial"/>
          <w:szCs w:val="24"/>
        </w:rPr>
      </w:pPr>
    </w:p>
    <w:p w:rsidR="00D07F18" w:rsidRPr="00945A02" w:rsidRDefault="00D07F18" w:rsidP="00D07F18">
      <w:pPr>
        <w:rPr>
          <w:rFonts w:cs="Arial"/>
          <w:szCs w:val="24"/>
        </w:rPr>
      </w:pPr>
    </w:p>
    <w:p w:rsidR="00D07F18" w:rsidRPr="00945A02" w:rsidRDefault="00D07F18" w:rsidP="00D07F18">
      <w:pPr>
        <w:rPr>
          <w:rFonts w:cs="Arial"/>
          <w:szCs w:val="24"/>
        </w:rPr>
      </w:pPr>
    </w:p>
    <w:p w:rsidR="00D07F18" w:rsidRPr="00945A02" w:rsidRDefault="00D07F18" w:rsidP="00D07F18">
      <w:pPr>
        <w:rPr>
          <w:rFonts w:cs="Arial"/>
          <w:b/>
          <w:szCs w:val="24"/>
        </w:rPr>
      </w:pPr>
    </w:p>
    <w:p w:rsidR="00D07F18" w:rsidRPr="00945A02" w:rsidRDefault="00D07F18" w:rsidP="00D07F18">
      <w:pPr>
        <w:rPr>
          <w:rFonts w:cs="Arial"/>
          <w:b/>
          <w:szCs w:val="24"/>
        </w:rPr>
      </w:pPr>
    </w:p>
    <w:p w:rsidR="00D07F18" w:rsidRPr="00945A02" w:rsidRDefault="00D07F18" w:rsidP="00D07F18">
      <w:pPr>
        <w:rPr>
          <w:rFonts w:cs="Arial"/>
          <w:b/>
          <w:szCs w:val="24"/>
        </w:rPr>
      </w:pPr>
    </w:p>
    <w:p w:rsidR="00945A02" w:rsidRDefault="00D07F18" w:rsidP="00945A02">
      <w:pPr>
        <w:spacing w:after="240" w:line="240" w:lineRule="auto"/>
        <w:rPr>
          <w:rFonts w:cs="Arial"/>
          <w:szCs w:val="24"/>
        </w:rPr>
      </w:pPr>
      <w:r w:rsidRPr="00945A02">
        <w:rPr>
          <w:rFonts w:cs="Arial"/>
          <w:b/>
          <w:szCs w:val="24"/>
        </w:rPr>
        <w:t xml:space="preserve">Figure </w:t>
      </w:r>
      <w:r w:rsidR="00F56DE1">
        <w:rPr>
          <w:rFonts w:cs="Arial"/>
          <w:b/>
          <w:szCs w:val="24"/>
        </w:rPr>
        <w:t>A</w:t>
      </w:r>
      <w:r w:rsidR="00945A02" w:rsidRPr="00945A02">
        <w:rPr>
          <w:rFonts w:cs="Arial"/>
          <w:b/>
          <w:szCs w:val="24"/>
        </w:rPr>
        <w:t xml:space="preserve">. </w:t>
      </w:r>
      <w:r w:rsidR="00945A02" w:rsidRPr="005F0638">
        <w:rPr>
          <w:rFonts w:cs="Arial"/>
          <w:szCs w:val="24"/>
        </w:rPr>
        <w:t xml:space="preserve">Example </w:t>
      </w:r>
      <w:r w:rsidR="004A158F" w:rsidRPr="005F0638">
        <w:rPr>
          <w:rFonts w:cs="Arial"/>
          <w:szCs w:val="24"/>
        </w:rPr>
        <w:t>distribution</w:t>
      </w:r>
      <w:r w:rsidR="00945A02" w:rsidRPr="005F0638">
        <w:rPr>
          <w:rFonts w:cs="Arial"/>
          <w:szCs w:val="24"/>
        </w:rPr>
        <w:t xml:space="preserve"> of OFF-time</w:t>
      </w:r>
      <w:r w:rsidR="005F0638">
        <w:rPr>
          <w:rFonts w:cs="Arial"/>
          <w:szCs w:val="24"/>
        </w:rPr>
        <w:t xml:space="preserve">s with fit. </w:t>
      </w:r>
      <w:r w:rsidR="00945A02" w:rsidRPr="005F0638">
        <w:rPr>
          <w:rFonts w:cs="Arial"/>
          <w:szCs w:val="24"/>
        </w:rPr>
        <w:t>The</w:t>
      </w:r>
      <w:r w:rsidR="00945A02" w:rsidRPr="00945A02">
        <w:rPr>
          <w:rFonts w:cs="Arial"/>
          <w:szCs w:val="24"/>
        </w:rPr>
        <w:t xml:space="preserve"> OFF-times we observed in single-molecule experiments cover a wide range from several milliseconds to tens of seconds.  As suggested by </w:t>
      </w:r>
      <w:proofErr w:type="spellStart"/>
      <w:r w:rsidR="00945A02" w:rsidRPr="00945A02">
        <w:rPr>
          <w:rFonts w:cs="Arial"/>
          <w:szCs w:val="24"/>
        </w:rPr>
        <w:t>Sigworth</w:t>
      </w:r>
      <w:proofErr w:type="spellEnd"/>
      <w:r w:rsidR="00945A02" w:rsidRPr="00945A02">
        <w:rPr>
          <w:rFonts w:cs="Arial"/>
          <w:szCs w:val="24"/>
        </w:rPr>
        <w:t xml:space="preserve"> and Sine et al.</w:t>
      </w:r>
      <w:r w:rsidR="006D195C">
        <w:rPr>
          <w:rFonts w:cs="Arial"/>
          <w:szCs w:val="24"/>
        </w:rPr>
        <w:fldChar w:fldCharType="begin"/>
      </w:r>
      <w:r w:rsidR="006D195C">
        <w:rPr>
          <w:rFonts w:cs="Arial"/>
          <w:szCs w:val="24"/>
        </w:rPr>
        <w:instrText xml:space="preserve"> ADDIN EN.CITE &lt;EndNote&gt;&lt;Cite&gt;&lt;Author&gt;Sigworth&lt;/Author&gt;&lt;Year&gt;1987&lt;/Year&gt;&lt;RecNum&gt;12&lt;/RecNum&gt;&lt;DisplayText&gt;[1]&lt;/DisplayText&gt;&lt;record&gt;&lt;rec-number&gt;12&lt;/rec-number&gt;&lt;foreign-keys&gt;&lt;key app="EN" db-id="apzxeaps0x22d1eefepxewwarvvt0zxdtv92" timestamp="1420758651"&gt;12&lt;/key&gt;&lt;/foreign-keys&gt;&lt;ref-type name="Journal Article"&gt;17&lt;/ref-type&gt;&lt;contributors&gt;&lt;authors&gt;&lt;author&gt;Sigworth, F. J.&lt;/author&gt;&lt;author&gt;Sine, S. M.&lt;/author&gt;&lt;/authors&gt;&lt;/contributors&gt;&lt;auth-address&gt;Department of Physiology, Yale University School of Medicine, New Haven, Connecticut 06510.&lt;/auth-address&gt;&lt;titles&gt;&lt;title&gt;Data transformations for improved display and fitting of single-channel dwell time histograms&lt;/title&gt;&lt;secondary-title&gt;Biophys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journal&lt;/abbr-1&gt;&lt;/alt-periodical&gt;&lt;pages&gt;1047-54&lt;/pages&gt;&lt;volume&gt;52&lt;/volume&gt;&lt;number&gt;6&lt;/number&gt;&lt;keywords&gt;&lt;keyword&gt;Ion Channels/*physiology&lt;/keyword&gt;&lt;keyword&gt;Mathematics&lt;/keyword&gt;&lt;keyword&gt;*Models, Biological&lt;/keyword&gt;&lt;keyword&gt;Probability&lt;/keyword&gt;&lt;keyword&gt;Time Factors&lt;/keyword&gt;&lt;/keywords&gt;&lt;dates&gt;&lt;year&gt;1987&lt;/year&gt;&lt;pub-dates&gt;&lt;date&gt;Dec&lt;/date&gt;&lt;/pub-dates&gt;&lt;/dates&gt;&lt;isbn&gt;0006-3495 (Print)&amp;#xD;0006-3495 (Linking)&lt;/isbn&gt;&lt;accession-num&gt;2447968&lt;/accession-num&gt;&lt;urls&gt;&lt;related-urls&gt;&lt;url&gt;http://www.ncbi.nlm.nih.gov/pubmed/2447968&lt;/url&gt;&lt;/related-urls&gt;&lt;/urls&gt;&lt;custom2&gt;1330104&lt;/custom2&gt;&lt;electronic-resource-num&gt;10.1016/S0006-3495(87)83298-8&lt;/electronic-resource-num&gt;&lt;/record&gt;&lt;/Cite&gt;&lt;/EndNote&gt;</w:instrText>
      </w:r>
      <w:r w:rsidR="006D195C">
        <w:rPr>
          <w:rFonts w:cs="Arial"/>
          <w:szCs w:val="24"/>
        </w:rPr>
        <w:fldChar w:fldCharType="separate"/>
      </w:r>
      <w:r w:rsidR="006D195C">
        <w:rPr>
          <w:rFonts w:cs="Arial"/>
          <w:noProof/>
          <w:szCs w:val="24"/>
        </w:rPr>
        <w:t>[</w:t>
      </w:r>
      <w:hyperlink w:anchor="_ENREF_1" w:tooltip="Sigworth, 1987 #12" w:history="1">
        <w:r w:rsidR="006D195C">
          <w:rPr>
            <w:rFonts w:cs="Arial"/>
            <w:noProof/>
            <w:szCs w:val="24"/>
          </w:rPr>
          <w:t>1</w:t>
        </w:r>
      </w:hyperlink>
      <w:r w:rsidR="006D195C">
        <w:rPr>
          <w:rFonts w:cs="Arial"/>
          <w:noProof/>
          <w:szCs w:val="24"/>
        </w:rPr>
        <w:t>]</w:t>
      </w:r>
      <w:r w:rsidR="006D195C">
        <w:rPr>
          <w:rFonts w:cs="Arial"/>
          <w:szCs w:val="24"/>
        </w:rPr>
        <w:fldChar w:fldCharType="end"/>
      </w:r>
      <w:r w:rsidR="00945A02" w:rsidRPr="00945A02">
        <w:rPr>
          <w:rFonts w:cs="Arial"/>
          <w:szCs w:val="24"/>
        </w:rPr>
        <w:t xml:space="preserve">, plotting the distribution of the logarithm of the OFF-times rather than the distribution of OFF-times makes the data and its fit easier to interpret. The </w:t>
      </w:r>
      <w:r w:rsidR="004A158F">
        <w:rPr>
          <w:rFonts w:cs="Arial"/>
          <w:szCs w:val="24"/>
        </w:rPr>
        <w:t xml:space="preserve">distribution </w:t>
      </w:r>
      <w:r w:rsidR="00945A02" w:rsidRPr="00945A02">
        <w:rPr>
          <w:rFonts w:cs="Arial"/>
          <w:szCs w:val="24"/>
        </w:rPr>
        <w:t xml:space="preserve">of OFF-times can be </w:t>
      </w:r>
      <w:r w:rsidR="00945A02">
        <w:rPr>
          <w:rFonts w:cs="Arial"/>
          <w:szCs w:val="24"/>
        </w:rPr>
        <w:t xml:space="preserve">fit </w:t>
      </w:r>
      <w:r w:rsidR="00945A02" w:rsidRPr="00945A02">
        <w:rPr>
          <w:rFonts w:cs="Arial"/>
          <w:szCs w:val="24"/>
        </w:rPr>
        <w:t>with a mixture of three exponential distributions (blue bar: data, red solid line: fit function, red dot line: each individual exponential component of the fit function</w:t>
      </w:r>
      <w:r w:rsidR="00945A02">
        <w:rPr>
          <w:rFonts w:cs="Arial"/>
          <w:szCs w:val="24"/>
        </w:rPr>
        <w:t xml:space="preserve">, see </w:t>
      </w:r>
      <w:r w:rsidR="00945A02" w:rsidRPr="00945A02">
        <w:rPr>
          <w:rFonts w:cs="Arial"/>
          <w:b/>
          <w:szCs w:val="24"/>
        </w:rPr>
        <w:t>Methods</w:t>
      </w:r>
      <w:r w:rsidR="00945A02">
        <w:rPr>
          <w:rFonts w:cs="Arial"/>
          <w:szCs w:val="24"/>
        </w:rPr>
        <w:t xml:space="preserve"> for derivation of the fit function</w:t>
      </w:r>
      <w:r w:rsidR="00945A02" w:rsidRPr="00945A02">
        <w:rPr>
          <w:rFonts w:cs="Arial"/>
          <w:szCs w:val="24"/>
        </w:rPr>
        <w:t xml:space="preserve">). </w:t>
      </w: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Default="006D195C" w:rsidP="00945A02">
      <w:pPr>
        <w:spacing w:after="240" w:line="240" w:lineRule="auto"/>
        <w:rPr>
          <w:rFonts w:cs="Arial"/>
          <w:szCs w:val="24"/>
        </w:rPr>
      </w:pPr>
    </w:p>
    <w:p w:rsidR="006D195C" w:rsidRPr="006D195C" w:rsidRDefault="006D195C" w:rsidP="006D195C">
      <w:pPr>
        <w:pStyle w:val="EndNoteBibliography"/>
        <w:ind w:left="720" w:hanging="720"/>
      </w:pPr>
      <w:r>
        <w:t>[</w:t>
      </w:r>
      <w:r>
        <w:fldChar w:fldCharType="begin"/>
      </w:r>
      <w:r>
        <w:instrText xml:space="preserve"> ADDIN EN.REFLIST </w:instrText>
      </w:r>
      <w:r>
        <w:fldChar w:fldCharType="separate"/>
      </w:r>
      <w:bookmarkStart w:id="0" w:name="_ENREF_1"/>
      <w:r w:rsidRPr="006D195C">
        <w:t>1</w:t>
      </w:r>
      <w:r>
        <w:t xml:space="preserve">] </w:t>
      </w:r>
      <w:r w:rsidRPr="006D195C">
        <w:t>Sigworth FJ, Sine SM (1987) Data transformations for improved display and fitting of single-channel dwell time histograms. Biophys J 52: 1047-1054.</w:t>
      </w:r>
      <w:bookmarkEnd w:id="0"/>
    </w:p>
    <w:p w:rsidR="00D07F18" w:rsidRPr="00945A02" w:rsidRDefault="006D195C" w:rsidP="006D195C">
      <w:pPr>
        <w:rPr>
          <w:rFonts w:cs="Arial"/>
          <w:b/>
          <w:szCs w:val="24"/>
        </w:rPr>
      </w:pPr>
      <w:r>
        <w:fldChar w:fldCharType="end"/>
      </w:r>
    </w:p>
    <w:p w:rsidR="00D07F18" w:rsidRPr="00C45ADF" w:rsidRDefault="00945A02">
      <w:pPr>
        <w:rPr>
          <w:rFonts w:cs="Arial"/>
          <w:szCs w:val="24"/>
        </w:rPr>
      </w:pPr>
      <w:r w:rsidRPr="00945A02">
        <w:rPr>
          <w:rFonts w:cs="Arial"/>
          <w:b/>
          <w:noProof/>
          <w:szCs w:val="24"/>
        </w:rPr>
        <w:lastRenderedPageBreak/>
        <w:drawing>
          <wp:anchor distT="0" distB="0" distL="114300" distR="114300" simplePos="0" relativeHeight="251660288" behindDoc="0" locked="0" layoutInCell="1" allowOverlap="1" wp14:anchorId="371771EA" wp14:editId="1979DE00">
            <wp:simplePos x="0" y="0"/>
            <wp:positionH relativeFrom="margin">
              <wp:posOffset>90170</wp:posOffset>
            </wp:positionH>
            <wp:positionV relativeFrom="margin">
              <wp:posOffset>344420</wp:posOffset>
            </wp:positionV>
            <wp:extent cx="5876925" cy="4143375"/>
            <wp:effectExtent l="0" t="0" r="9525" b="9525"/>
            <wp:wrapSquare wrapText="bothSides"/>
            <wp:docPr id="28718" name="Picture 28718" descr="C:\Users\3DsCMOS\Desktop\PLOS_ONE_figures\TIFF\Suppl_Figure_TIFF\Suppl_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sCMOS\Desktop\PLOS_ONE_figures\TIFF\Suppl_Figure_TIFF\Suppl_fig5.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6925" cy="4143375"/>
                    </a:xfrm>
                    <a:prstGeom prst="rect">
                      <a:avLst/>
                    </a:prstGeom>
                    <a:noFill/>
                    <a:ln>
                      <a:noFill/>
                    </a:ln>
                  </pic:spPr>
                </pic:pic>
              </a:graphicData>
            </a:graphic>
          </wp:anchor>
        </w:drawing>
      </w:r>
    </w:p>
    <w:p w:rsidR="00D07F18" w:rsidRPr="005F0638" w:rsidRDefault="00D07F18" w:rsidP="00D07F18">
      <w:pPr>
        <w:rPr>
          <w:rFonts w:cs="Arial"/>
          <w:szCs w:val="24"/>
        </w:rPr>
      </w:pPr>
      <w:r w:rsidRPr="004A158F">
        <w:rPr>
          <w:rFonts w:cs="Arial"/>
          <w:b/>
          <w:szCs w:val="24"/>
        </w:rPr>
        <w:t xml:space="preserve">Figure </w:t>
      </w:r>
      <w:r w:rsidR="00F56DE1">
        <w:rPr>
          <w:rFonts w:cs="Arial"/>
          <w:b/>
          <w:szCs w:val="24"/>
        </w:rPr>
        <w:t>B</w:t>
      </w:r>
      <w:r w:rsidR="00945A02" w:rsidRPr="004A158F">
        <w:rPr>
          <w:rFonts w:cs="Arial"/>
          <w:b/>
          <w:szCs w:val="24"/>
        </w:rPr>
        <w:t>.</w:t>
      </w:r>
      <w:r w:rsidR="004A158F">
        <w:rPr>
          <w:rFonts w:cs="Arial"/>
          <w:b/>
          <w:szCs w:val="24"/>
        </w:rPr>
        <w:t xml:space="preserve"> </w:t>
      </w:r>
      <w:r w:rsidR="004A158F" w:rsidRPr="005F0638">
        <w:rPr>
          <w:rFonts w:cs="Arial"/>
          <w:szCs w:val="24"/>
        </w:rPr>
        <w:t>OFF-time distributions at different excitation intensities</w:t>
      </w:r>
      <w:r w:rsidR="005F0638" w:rsidRPr="005F0638">
        <w:rPr>
          <w:rFonts w:cs="Arial"/>
          <w:szCs w:val="24"/>
        </w:rPr>
        <w:t xml:space="preserve"> from 1 – 97 kW/cm</w:t>
      </w:r>
      <w:r w:rsidR="005F0638" w:rsidRPr="005F0638">
        <w:rPr>
          <w:rFonts w:cs="Arial"/>
          <w:szCs w:val="24"/>
          <w:vertAlign w:val="superscript"/>
        </w:rPr>
        <w:t>2</w:t>
      </w:r>
      <w:r w:rsidR="005F0638" w:rsidRPr="005F0638">
        <w:rPr>
          <w:rFonts w:cs="Arial"/>
          <w:szCs w:val="24"/>
        </w:rPr>
        <w:t xml:space="preserve">. </w:t>
      </w:r>
    </w:p>
    <w:p w:rsidR="00D07F18" w:rsidRPr="00945A02" w:rsidRDefault="00D07F18" w:rsidP="00D07F18">
      <w:pPr>
        <w:rPr>
          <w:rFonts w:cs="Arial"/>
          <w:szCs w:val="24"/>
        </w:rPr>
      </w:pPr>
    </w:p>
    <w:p w:rsidR="00945A02" w:rsidRPr="00945A02" w:rsidRDefault="00945A02" w:rsidP="00D07F18">
      <w:pPr>
        <w:jc w:val="center"/>
        <w:rPr>
          <w:rFonts w:cs="Arial"/>
          <w:b/>
          <w:szCs w:val="24"/>
        </w:rPr>
      </w:pPr>
    </w:p>
    <w:p w:rsidR="00945A02" w:rsidRPr="00945A02" w:rsidRDefault="00945A02" w:rsidP="00945A02">
      <w:pPr>
        <w:rPr>
          <w:rFonts w:cs="Arial"/>
          <w:b/>
          <w:szCs w:val="24"/>
        </w:rPr>
      </w:pPr>
    </w:p>
    <w:p w:rsidR="00945A02" w:rsidRPr="00945A02" w:rsidRDefault="00945A02" w:rsidP="00D07F18">
      <w:pPr>
        <w:jc w:val="center"/>
        <w:rPr>
          <w:rFonts w:cs="Arial"/>
          <w:b/>
          <w:szCs w:val="24"/>
        </w:rPr>
      </w:pPr>
    </w:p>
    <w:p w:rsidR="00D07F18" w:rsidRPr="00945A02" w:rsidRDefault="00D07F18" w:rsidP="00D07F18">
      <w:pPr>
        <w:jc w:val="center"/>
        <w:rPr>
          <w:rFonts w:cs="Arial"/>
          <w:szCs w:val="24"/>
        </w:rPr>
      </w:pPr>
    </w:p>
    <w:p w:rsidR="00D07F18" w:rsidRDefault="00D07F18" w:rsidP="00D07F18">
      <w:pPr>
        <w:rPr>
          <w:rFonts w:cs="Arial"/>
          <w:szCs w:val="24"/>
        </w:rPr>
      </w:pPr>
    </w:p>
    <w:p w:rsidR="00945A02" w:rsidRDefault="00945A02" w:rsidP="00D07F18">
      <w:pPr>
        <w:rPr>
          <w:rFonts w:cs="Arial"/>
          <w:szCs w:val="24"/>
        </w:rPr>
      </w:pPr>
    </w:p>
    <w:p w:rsidR="00945A02" w:rsidRDefault="00945A02" w:rsidP="00D07F18">
      <w:pPr>
        <w:rPr>
          <w:rFonts w:cs="Arial"/>
          <w:szCs w:val="24"/>
        </w:rPr>
      </w:pPr>
    </w:p>
    <w:p w:rsidR="00945A02" w:rsidRDefault="00945A02" w:rsidP="00D07F18">
      <w:pPr>
        <w:rPr>
          <w:rFonts w:cs="Arial"/>
          <w:szCs w:val="24"/>
        </w:rPr>
      </w:pPr>
    </w:p>
    <w:p w:rsidR="00945A02" w:rsidRDefault="00945A02" w:rsidP="00D07F18">
      <w:pPr>
        <w:rPr>
          <w:rFonts w:cs="Arial"/>
          <w:szCs w:val="24"/>
        </w:rPr>
      </w:pPr>
    </w:p>
    <w:p w:rsidR="00945A02" w:rsidRDefault="00945A02" w:rsidP="00D07F18">
      <w:pPr>
        <w:rPr>
          <w:rFonts w:cs="Arial"/>
          <w:szCs w:val="24"/>
        </w:rPr>
      </w:pPr>
      <w:r w:rsidRPr="00945A02">
        <w:rPr>
          <w:rFonts w:cs="Arial"/>
          <w:noProof/>
          <w:szCs w:val="24"/>
        </w:rPr>
        <w:lastRenderedPageBreak/>
        <w:drawing>
          <wp:anchor distT="0" distB="0" distL="114300" distR="114300" simplePos="0" relativeHeight="251661312" behindDoc="0" locked="0" layoutInCell="1" allowOverlap="1" wp14:anchorId="07C68E76" wp14:editId="6753F50B">
            <wp:simplePos x="0" y="0"/>
            <wp:positionH relativeFrom="margin">
              <wp:posOffset>13970</wp:posOffset>
            </wp:positionH>
            <wp:positionV relativeFrom="margin">
              <wp:posOffset>216423</wp:posOffset>
            </wp:positionV>
            <wp:extent cx="5943600" cy="5286375"/>
            <wp:effectExtent l="0" t="0" r="0" b="9525"/>
            <wp:wrapSquare wrapText="bothSides"/>
            <wp:docPr id="1044" name="Picture 1044" descr="Z:\Yu\Manuscripts\AL647\PLOS_ONE\submission_prep\Suppl_figures\Suppl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Yu\Manuscripts\AL647\PLOS_ONE\submission_prep\Suppl_figures\Suppl_Fig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286375"/>
                    </a:xfrm>
                    <a:prstGeom prst="rect">
                      <a:avLst/>
                    </a:prstGeom>
                    <a:noFill/>
                    <a:ln>
                      <a:noFill/>
                    </a:ln>
                  </pic:spPr>
                </pic:pic>
              </a:graphicData>
            </a:graphic>
          </wp:anchor>
        </w:drawing>
      </w:r>
    </w:p>
    <w:p w:rsidR="00945A02" w:rsidRPr="00945A02" w:rsidRDefault="00945A02" w:rsidP="00945A02">
      <w:pPr>
        <w:spacing w:line="240" w:lineRule="auto"/>
        <w:rPr>
          <w:rFonts w:cs="Arial"/>
          <w:szCs w:val="24"/>
        </w:rPr>
      </w:pPr>
      <w:r w:rsidRPr="00945A02">
        <w:rPr>
          <w:rFonts w:cs="Arial"/>
          <w:b/>
          <w:szCs w:val="24"/>
        </w:rPr>
        <w:t xml:space="preserve">Figure </w:t>
      </w:r>
      <w:r w:rsidR="00F56DE1">
        <w:rPr>
          <w:rFonts w:cs="Arial"/>
          <w:b/>
          <w:szCs w:val="24"/>
        </w:rPr>
        <w:t>C</w:t>
      </w:r>
      <w:r w:rsidRPr="00945A02">
        <w:rPr>
          <w:rFonts w:cs="Arial"/>
          <w:b/>
          <w:szCs w:val="24"/>
        </w:rPr>
        <w:t xml:space="preserve">. </w:t>
      </w:r>
      <w:r w:rsidRPr="005F0638">
        <w:rPr>
          <w:rFonts w:cs="Arial"/>
          <w:szCs w:val="24"/>
        </w:rPr>
        <w:t>Example experimental data showing rejection of overlapping signals at low frame rates.</w:t>
      </w:r>
      <w:r w:rsidRPr="00945A02">
        <w:rPr>
          <w:rFonts w:cs="Arial"/>
          <w:b/>
          <w:szCs w:val="24"/>
        </w:rPr>
        <w:t xml:space="preserve"> </w:t>
      </w:r>
      <w:r w:rsidRPr="00945A02">
        <w:rPr>
          <w:rFonts w:cs="Arial"/>
          <w:szCs w:val="24"/>
        </w:rPr>
        <w:t>(</w:t>
      </w:r>
      <w:r w:rsidRPr="00945A02">
        <w:rPr>
          <w:rFonts w:cs="Arial"/>
          <w:b/>
          <w:szCs w:val="24"/>
        </w:rPr>
        <w:t>A</w:t>
      </w:r>
      <w:r w:rsidRPr="00945A02">
        <w:rPr>
          <w:rFonts w:cs="Arial"/>
          <w:szCs w:val="24"/>
        </w:rPr>
        <w:t>) Eight frames of SMSN raw images were acquired at 800 fps with 97 kW/cm</w:t>
      </w:r>
      <w:r w:rsidRPr="00945A02">
        <w:rPr>
          <w:rFonts w:cs="Arial"/>
          <w:szCs w:val="24"/>
          <w:vertAlign w:val="superscript"/>
        </w:rPr>
        <w:t>2</w:t>
      </w:r>
      <w:r w:rsidRPr="00945A02">
        <w:rPr>
          <w:rFonts w:cs="Arial"/>
          <w:szCs w:val="24"/>
        </w:rPr>
        <w:t xml:space="preserve"> of 642-nm light over 10 </w:t>
      </w:r>
      <w:proofErr w:type="spellStart"/>
      <w:r w:rsidRPr="00945A02">
        <w:rPr>
          <w:rFonts w:cs="Arial"/>
          <w:szCs w:val="24"/>
        </w:rPr>
        <w:t>ms.</w:t>
      </w:r>
      <w:proofErr w:type="spellEnd"/>
      <w:r w:rsidRPr="00945A02">
        <w:rPr>
          <w:rFonts w:cs="Arial"/>
          <w:szCs w:val="24"/>
        </w:rPr>
        <w:t xml:space="preserve"> 34 molecules were identified as single molecules and localized (red numbers). (</w:t>
      </w:r>
      <w:r w:rsidRPr="00945A02">
        <w:rPr>
          <w:rFonts w:cs="Arial"/>
          <w:b/>
          <w:szCs w:val="24"/>
        </w:rPr>
        <w:t>B</w:t>
      </w:r>
      <w:r w:rsidRPr="00945A02">
        <w:rPr>
          <w:rFonts w:cs="Arial"/>
          <w:szCs w:val="24"/>
        </w:rPr>
        <w:t xml:space="preserve">) An artificial single frame image generated by adding frames 1-8 from </w:t>
      </w:r>
      <w:r w:rsidRPr="00945A02">
        <w:rPr>
          <w:rFonts w:cs="Arial"/>
          <w:caps/>
          <w:szCs w:val="24"/>
        </w:rPr>
        <w:t>(</w:t>
      </w:r>
      <w:r w:rsidRPr="00945A02">
        <w:rPr>
          <w:rFonts w:cs="Arial"/>
          <w:b/>
          <w:caps/>
          <w:szCs w:val="24"/>
        </w:rPr>
        <w:t>a</w:t>
      </w:r>
      <w:r w:rsidRPr="00945A02">
        <w:rPr>
          <w:rFonts w:cs="Arial"/>
          <w:caps/>
          <w:szCs w:val="24"/>
        </w:rPr>
        <w:t>)</w:t>
      </w:r>
      <w:r w:rsidRPr="00945A02">
        <w:rPr>
          <w:rFonts w:cs="Arial"/>
          <w:szCs w:val="24"/>
        </w:rPr>
        <w:t xml:space="preserve"> to simulate recording of the same signal at 100 fps. Only 5 molecules were identified as single molecules because of overlapping of signals from neighboring molecules. Scale bars: 1 µm.</w:t>
      </w:r>
    </w:p>
    <w:p w:rsidR="00945A02" w:rsidRDefault="00945A02" w:rsidP="00D07F18">
      <w:pPr>
        <w:rPr>
          <w:rFonts w:cs="Arial"/>
          <w:szCs w:val="24"/>
        </w:rPr>
      </w:pPr>
    </w:p>
    <w:p w:rsidR="00945A02" w:rsidRDefault="00945A02" w:rsidP="00D07F18">
      <w:pPr>
        <w:rPr>
          <w:rFonts w:cs="Arial"/>
          <w:szCs w:val="24"/>
        </w:rPr>
      </w:pPr>
    </w:p>
    <w:p w:rsidR="00945A02" w:rsidRDefault="00945A02" w:rsidP="00D07F18">
      <w:pPr>
        <w:rPr>
          <w:rFonts w:cs="Arial"/>
          <w:szCs w:val="24"/>
        </w:rPr>
      </w:pPr>
      <w:r w:rsidRPr="00945A02">
        <w:rPr>
          <w:rFonts w:cs="Arial"/>
          <w:noProof/>
          <w:szCs w:val="24"/>
        </w:rPr>
        <w:drawing>
          <wp:anchor distT="0" distB="0" distL="114300" distR="114300" simplePos="0" relativeHeight="251662336" behindDoc="0" locked="0" layoutInCell="1" allowOverlap="1" wp14:anchorId="56010A0E" wp14:editId="00EB9BD3">
            <wp:simplePos x="0" y="0"/>
            <wp:positionH relativeFrom="column">
              <wp:posOffset>564776</wp:posOffset>
            </wp:positionH>
            <wp:positionV relativeFrom="paragraph">
              <wp:posOffset>350819</wp:posOffset>
            </wp:positionV>
            <wp:extent cx="4800600" cy="1562100"/>
            <wp:effectExtent l="0" t="0" r="0" b="0"/>
            <wp:wrapTopAndBottom/>
            <wp:docPr id="1046" name="Picture 1046" descr="Z:\Yu\Manuscripts\AL647\PLOS_ONE\submission_prep\Suppl_figures\Suppl_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Yu\Manuscripts\AL647\PLOS_ONE\submission_prep\Suppl_figures\Suppl_Fig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A02" w:rsidRDefault="00945A02" w:rsidP="00D07F18">
      <w:pPr>
        <w:rPr>
          <w:rFonts w:cs="Arial"/>
          <w:szCs w:val="24"/>
        </w:rPr>
      </w:pPr>
    </w:p>
    <w:p w:rsidR="00945A02" w:rsidRPr="00945A02" w:rsidRDefault="00945A02" w:rsidP="00D07F18">
      <w:pPr>
        <w:rPr>
          <w:rFonts w:cs="Arial"/>
          <w:szCs w:val="24"/>
        </w:rPr>
      </w:pPr>
    </w:p>
    <w:p w:rsidR="00945A02" w:rsidRPr="00945A02" w:rsidRDefault="00D07F18" w:rsidP="00945A02">
      <w:pPr>
        <w:spacing w:after="240" w:line="240" w:lineRule="auto"/>
        <w:rPr>
          <w:rFonts w:cs="Arial"/>
          <w:szCs w:val="24"/>
        </w:rPr>
      </w:pPr>
      <w:r w:rsidRPr="00945A02">
        <w:rPr>
          <w:rFonts w:cs="Arial"/>
          <w:b/>
          <w:szCs w:val="24"/>
        </w:rPr>
        <w:t xml:space="preserve">Figure </w:t>
      </w:r>
      <w:r w:rsidR="00F56DE1">
        <w:rPr>
          <w:rFonts w:cs="Arial"/>
          <w:b/>
          <w:szCs w:val="24"/>
        </w:rPr>
        <w:t>D</w:t>
      </w:r>
      <w:r w:rsidR="00945A02" w:rsidRPr="00945A02">
        <w:rPr>
          <w:rFonts w:cs="Arial"/>
          <w:b/>
          <w:szCs w:val="24"/>
        </w:rPr>
        <w:t xml:space="preserve">. </w:t>
      </w:r>
      <w:r w:rsidR="00945A02" w:rsidRPr="005F0638">
        <w:rPr>
          <w:rFonts w:cs="Arial"/>
          <w:szCs w:val="24"/>
        </w:rPr>
        <w:t>Examples of fluorescence emission events that lasted for several camera frames and were repeatedly localized.</w:t>
      </w:r>
      <w:r w:rsidR="005F0638">
        <w:rPr>
          <w:rFonts w:cs="Arial"/>
          <w:szCs w:val="24"/>
        </w:rPr>
        <w:t xml:space="preserve"> </w:t>
      </w:r>
      <w:r w:rsidR="00945A02" w:rsidRPr="00945A02">
        <w:rPr>
          <w:rFonts w:cs="Arial"/>
          <w:szCs w:val="24"/>
        </w:rPr>
        <w:t xml:space="preserve">As illustrated, emission events were localized two (green circle) or three times (red circle and red box) over consecutive frames. This phenomenon would affect both localization precision and density if not corrected for. To avoid this artifact, we grouped photons from the same emission event in our single-molecule analysis (see </w:t>
      </w:r>
      <w:r w:rsidR="00945A02" w:rsidRPr="00945A02">
        <w:rPr>
          <w:rFonts w:cs="Arial"/>
          <w:b/>
          <w:szCs w:val="24"/>
        </w:rPr>
        <w:t xml:space="preserve">Methods </w:t>
      </w:r>
      <w:r w:rsidR="00945A02" w:rsidRPr="00945A02">
        <w:rPr>
          <w:rFonts w:cs="Arial"/>
          <w:szCs w:val="24"/>
        </w:rPr>
        <w:t>for details). Scale bar: 1 µm.</w:t>
      </w:r>
    </w:p>
    <w:p w:rsidR="00D07F18" w:rsidRPr="00945A02" w:rsidRDefault="00D07F18" w:rsidP="00D07F18">
      <w:pPr>
        <w:rPr>
          <w:rFonts w:cs="Arial"/>
          <w:b/>
          <w:szCs w:val="24"/>
        </w:rPr>
      </w:pPr>
    </w:p>
    <w:p w:rsidR="00945A02" w:rsidRPr="00945A02" w:rsidRDefault="00945A02" w:rsidP="00D07F18">
      <w:pPr>
        <w:rPr>
          <w:rFonts w:cs="Arial"/>
          <w:b/>
          <w:szCs w:val="24"/>
        </w:rPr>
      </w:pPr>
    </w:p>
    <w:p w:rsidR="00945A02" w:rsidRPr="00945A02" w:rsidRDefault="00945A02" w:rsidP="00D07F18">
      <w:pPr>
        <w:rPr>
          <w:rFonts w:cs="Arial"/>
          <w:b/>
          <w:szCs w:val="24"/>
        </w:rPr>
      </w:pPr>
    </w:p>
    <w:p w:rsidR="00D07F18" w:rsidRPr="00945A02" w:rsidRDefault="00D07F18" w:rsidP="00D07F18">
      <w:pPr>
        <w:jc w:val="center"/>
        <w:rPr>
          <w:rFonts w:cs="Arial"/>
          <w:szCs w:val="24"/>
        </w:rPr>
      </w:pPr>
      <w:r w:rsidRPr="00945A02">
        <w:rPr>
          <w:rFonts w:cs="Arial"/>
          <w:noProof/>
          <w:szCs w:val="24"/>
        </w:rPr>
        <w:drawing>
          <wp:inline distT="0" distB="0" distL="0" distR="0" wp14:anchorId="7E20EEF3" wp14:editId="507BE25A">
            <wp:extent cx="4791075" cy="1571625"/>
            <wp:effectExtent l="0" t="0" r="9525" b="9525"/>
            <wp:docPr id="1048" name="Picture 1048" descr="Z:\Yu\Manuscripts\AL647\PLOS_ONE\submission_prep\Suppl_figures\Suppl_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Yu\Manuscripts\AL647\PLOS_ONE\submission_prep\Suppl_figures\Suppl_Fig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1571625"/>
                    </a:xfrm>
                    <a:prstGeom prst="rect">
                      <a:avLst/>
                    </a:prstGeom>
                    <a:noFill/>
                    <a:ln>
                      <a:noFill/>
                    </a:ln>
                  </pic:spPr>
                </pic:pic>
              </a:graphicData>
            </a:graphic>
          </wp:inline>
        </w:drawing>
      </w:r>
    </w:p>
    <w:p w:rsidR="00D07F18" w:rsidRPr="00945A02" w:rsidRDefault="00D07F18"/>
    <w:p w:rsidR="00945A02" w:rsidRPr="00945A02" w:rsidRDefault="00945A02" w:rsidP="00945A02">
      <w:pPr>
        <w:spacing w:after="240" w:line="240" w:lineRule="auto"/>
        <w:rPr>
          <w:rFonts w:cs="Arial"/>
          <w:szCs w:val="24"/>
        </w:rPr>
      </w:pPr>
      <w:r>
        <w:rPr>
          <w:rFonts w:cs="Arial"/>
          <w:b/>
          <w:szCs w:val="24"/>
        </w:rPr>
        <w:t xml:space="preserve">Figure </w:t>
      </w:r>
      <w:r w:rsidR="00F56DE1">
        <w:rPr>
          <w:rFonts w:cs="Arial"/>
          <w:b/>
          <w:szCs w:val="24"/>
        </w:rPr>
        <w:t>E</w:t>
      </w:r>
      <w:r w:rsidRPr="00945A02">
        <w:rPr>
          <w:rFonts w:cs="Arial"/>
          <w:b/>
          <w:szCs w:val="24"/>
        </w:rPr>
        <w:t xml:space="preserve">. </w:t>
      </w:r>
      <w:r w:rsidRPr="005F0638">
        <w:rPr>
          <w:rFonts w:cs="Arial"/>
          <w:szCs w:val="24"/>
        </w:rPr>
        <w:t>Estimation of the length</w:t>
      </w:r>
      <w:bookmarkStart w:id="1" w:name="_GoBack"/>
      <w:bookmarkEnd w:id="1"/>
      <w:r w:rsidRPr="005F0638">
        <w:rPr>
          <w:rFonts w:cs="Arial"/>
          <w:szCs w:val="24"/>
        </w:rPr>
        <w:t xml:space="preserve"> of imaged microtubules.</w:t>
      </w:r>
      <w:r w:rsidR="005F0638">
        <w:rPr>
          <w:rFonts w:cs="Arial"/>
          <w:szCs w:val="24"/>
        </w:rPr>
        <w:t xml:space="preserve"> </w:t>
      </w:r>
      <w:r w:rsidRPr="00945A02">
        <w:rPr>
          <w:rFonts w:cs="Arial"/>
          <w:szCs w:val="24"/>
        </w:rPr>
        <w:t xml:space="preserve">The length of a microtubule was determined from the outline of the binary conversion of the reconstructed image (see </w:t>
      </w:r>
      <w:r w:rsidRPr="00945A02">
        <w:rPr>
          <w:rFonts w:cs="Arial"/>
          <w:b/>
          <w:szCs w:val="24"/>
        </w:rPr>
        <w:t xml:space="preserve">Methods </w:t>
      </w:r>
      <w:r w:rsidRPr="00945A02">
        <w:rPr>
          <w:rFonts w:cs="Arial"/>
          <w:szCs w:val="24"/>
        </w:rPr>
        <w:t>for details). Scale bar: 1 µm.</w:t>
      </w:r>
    </w:p>
    <w:p w:rsidR="006D195C" w:rsidRDefault="006D195C"/>
    <w:p w:rsidR="006D195C" w:rsidRDefault="006D195C"/>
    <w:p w:rsidR="00945A02" w:rsidRPr="00945A02" w:rsidRDefault="00945A02"/>
    <w:sectPr w:rsidR="00945A02" w:rsidRPr="00945A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zxeaps0x22d1eefepxewwarvvt0zxdtv92&quot;&gt;Yu_Alexa647_EndNote Library&lt;record-ids&gt;&lt;item&gt;12&lt;/item&gt;&lt;/record-ids&gt;&lt;/item&gt;&lt;/Libraries&gt;"/>
  </w:docVars>
  <w:rsids>
    <w:rsidRoot w:val="00D07F18"/>
    <w:rsid w:val="001743E0"/>
    <w:rsid w:val="003D70D0"/>
    <w:rsid w:val="004A158F"/>
    <w:rsid w:val="00575FFC"/>
    <w:rsid w:val="005F0638"/>
    <w:rsid w:val="006A41F9"/>
    <w:rsid w:val="006D195C"/>
    <w:rsid w:val="00945A02"/>
    <w:rsid w:val="00B4602E"/>
    <w:rsid w:val="00C45ADF"/>
    <w:rsid w:val="00D07F18"/>
    <w:rsid w:val="00E41D23"/>
    <w:rsid w:val="00EA7995"/>
    <w:rsid w:val="00EC5A67"/>
    <w:rsid w:val="00F56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930BB-F7C1-4968-AF6D-BBA1355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D23"/>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02E"/>
    <w:rPr>
      <w:rFonts w:ascii="Tahoma" w:hAnsi="Tahoma" w:cs="Tahoma"/>
      <w:sz w:val="16"/>
      <w:szCs w:val="16"/>
    </w:rPr>
  </w:style>
  <w:style w:type="paragraph" w:customStyle="1" w:styleId="EndNoteBibliographyTitle">
    <w:name w:val="EndNote Bibliography Title"/>
    <w:basedOn w:val="Normal"/>
    <w:link w:val="EndNoteBibliographyTitleChar"/>
    <w:rsid w:val="006D195C"/>
    <w:pPr>
      <w:spacing w:after="0"/>
      <w:jc w:val="center"/>
    </w:pPr>
    <w:rPr>
      <w:noProof/>
    </w:rPr>
  </w:style>
  <w:style w:type="character" w:customStyle="1" w:styleId="EndNoteBibliographyTitleChar">
    <w:name w:val="EndNote Bibliography Title Char"/>
    <w:basedOn w:val="DefaultParagraphFont"/>
    <w:link w:val="EndNoteBibliographyTitle"/>
    <w:rsid w:val="006D195C"/>
    <w:rPr>
      <w:rFonts w:ascii="Cambria" w:hAnsi="Cambria"/>
      <w:noProof/>
      <w:sz w:val="24"/>
    </w:rPr>
  </w:style>
  <w:style w:type="paragraph" w:customStyle="1" w:styleId="EndNoteBibliography">
    <w:name w:val="EndNote Bibliography"/>
    <w:basedOn w:val="Normal"/>
    <w:link w:val="EndNoteBibliographyChar"/>
    <w:rsid w:val="006D195C"/>
    <w:pPr>
      <w:spacing w:line="240" w:lineRule="auto"/>
    </w:pPr>
    <w:rPr>
      <w:noProof/>
    </w:rPr>
  </w:style>
  <w:style w:type="character" w:customStyle="1" w:styleId="EndNoteBibliographyChar">
    <w:name w:val="EndNote Bibliography Char"/>
    <w:basedOn w:val="DefaultParagraphFont"/>
    <w:link w:val="EndNoteBibliography"/>
    <w:rsid w:val="006D195C"/>
    <w:rPr>
      <w:rFonts w:ascii="Cambria" w:hAnsi="Cambria"/>
      <w:noProof/>
      <w:sz w:val="24"/>
    </w:rPr>
  </w:style>
  <w:style w:type="character" w:styleId="Hyperlink">
    <w:name w:val="Hyperlink"/>
    <w:basedOn w:val="DefaultParagraphFont"/>
    <w:uiPriority w:val="99"/>
    <w:unhideWhenUsed/>
    <w:rsid w:val="006D19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Yu</dc:creator>
  <cp:keywords/>
  <dc:description/>
  <cp:lastModifiedBy>Lin, Yu</cp:lastModifiedBy>
  <cp:revision>2</cp:revision>
  <dcterms:created xsi:type="dcterms:W3CDTF">2015-04-28T21:44:00Z</dcterms:created>
  <dcterms:modified xsi:type="dcterms:W3CDTF">2015-04-28T21:44:00Z</dcterms:modified>
</cp:coreProperties>
</file>