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1843"/>
        <w:gridCol w:w="1275"/>
        <w:gridCol w:w="1843"/>
        <w:gridCol w:w="1418"/>
      </w:tblGrid>
      <w:tr w:rsidR="006D39A7" w:rsidRPr="006D39A7" w:rsidTr="00E90DBB">
        <w:trPr>
          <w:trHeight w:val="284"/>
        </w:trPr>
        <w:tc>
          <w:tcPr>
            <w:tcW w:w="1985" w:type="dxa"/>
            <w:tcBorders>
              <w:top w:val="single" w:sz="12" w:space="0" w:color="515151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A7" w:rsidRDefault="006D39A7" w:rsidP="00E90DBB">
            <w:pPr>
              <w:pStyle w:val="Geenafstand"/>
              <w:rPr>
                <w:b/>
                <w:bCs/>
                <w:color w:val="515151"/>
                <w:sz w:val="18"/>
                <w:szCs w:val="18"/>
                <w:lang w:val="en-US"/>
              </w:rPr>
            </w:pPr>
            <w:bookmarkStart w:id="0" w:name="_GoBack" w:colFirst="0" w:colLast="0"/>
          </w:p>
          <w:p w:rsidR="00676433" w:rsidRPr="006D39A7" w:rsidRDefault="00676433" w:rsidP="00E90DBB">
            <w:pPr>
              <w:pStyle w:val="Geenafstand"/>
              <w:rPr>
                <w:b/>
                <w:bCs/>
                <w:color w:val="515151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51515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A7" w:rsidRPr="006D39A7" w:rsidRDefault="006D39A7" w:rsidP="00E90DBB">
            <w:pPr>
              <w:pStyle w:val="Geenafstand"/>
              <w:jc w:val="center"/>
              <w:rPr>
                <w:b/>
                <w:bCs/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b/>
                <w:bCs/>
                <w:color w:val="515151"/>
                <w:sz w:val="18"/>
                <w:szCs w:val="18"/>
                <w:lang w:val="en-US"/>
              </w:rPr>
              <w:t>Final multiple linear regression model after reduction</w:t>
            </w:r>
          </w:p>
        </w:tc>
        <w:tc>
          <w:tcPr>
            <w:tcW w:w="3261" w:type="dxa"/>
            <w:gridSpan w:val="2"/>
            <w:tcBorders>
              <w:top w:val="single" w:sz="12" w:space="0" w:color="515151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39A7" w:rsidRPr="006D39A7" w:rsidRDefault="006D39A7" w:rsidP="00E90DBB">
            <w:pPr>
              <w:pStyle w:val="Geenafstand"/>
              <w:jc w:val="center"/>
              <w:rPr>
                <w:b/>
                <w:bCs/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b/>
                <w:bCs/>
                <w:color w:val="515151"/>
                <w:sz w:val="18"/>
                <w:szCs w:val="18"/>
                <w:lang w:val="en-US"/>
              </w:rPr>
              <w:t>Final multiple</w:t>
            </w:r>
          </w:p>
          <w:p w:rsidR="006D39A7" w:rsidRPr="006D39A7" w:rsidRDefault="006D39A7" w:rsidP="00E90DBB">
            <w:pPr>
              <w:pStyle w:val="Geenafstand"/>
              <w:jc w:val="center"/>
              <w:rPr>
                <w:b/>
                <w:bCs/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b/>
                <w:bCs/>
                <w:color w:val="515151"/>
                <w:sz w:val="18"/>
                <w:szCs w:val="18"/>
                <w:lang w:val="en-US"/>
              </w:rPr>
              <w:t>regression model</w:t>
            </w:r>
          </w:p>
          <w:p w:rsidR="006D39A7" w:rsidRPr="006D39A7" w:rsidRDefault="006D39A7" w:rsidP="00E90DBB">
            <w:pPr>
              <w:pStyle w:val="Geenafstand"/>
              <w:jc w:val="center"/>
              <w:rPr>
                <w:b/>
                <w:bCs/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b/>
                <w:bCs/>
                <w:color w:val="515151"/>
                <w:sz w:val="18"/>
                <w:szCs w:val="18"/>
                <w:lang w:val="en-US"/>
              </w:rPr>
              <w:t>+interaction term</w:t>
            </w:r>
          </w:p>
          <w:p w:rsidR="006D39A7" w:rsidRPr="006D39A7" w:rsidRDefault="006D39A7" w:rsidP="00E90DBB">
            <w:pPr>
              <w:pStyle w:val="Geenafstand"/>
              <w:jc w:val="center"/>
              <w:rPr>
                <w:b/>
                <w:bCs/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b/>
                <w:bCs/>
                <w:color w:val="515151"/>
                <w:sz w:val="18"/>
                <w:szCs w:val="18"/>
                <w:lang w:val="en-US"/>
              </w:rPr>
              <w:t>disease*Social support</w:t>
            </w:r>
          </w:p>
        </w:tc>
      </w:tr>
      <w:tr w:rsidR="006D39A7" w:rsidRPr="006D39A7" w:rsidTr="00E90DBB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A7" w:rsidRPr="006D39A7" w:rsidRDefault="006D39A7" w:rsidP="00E90DBB">
            <w:pPr>
              <w:pStyle w:val="Geenafstand"/>
              <w:rPr>
                <w:b/>
                <w:bCs/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b/>
                <w:bCs/>
                <w:color w:val="515151"/>
                <w:sz w:val="18"/>
                <w:szCs w:val="18"/>
                <w:lang w:val="en-US"/>
              </w:rPr>
              <w:t>N=806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rFonts w:cs="Calibri"/>
                <w:b/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rFonts w:cs="Calibri"/>
                <w:b/>
                <w:color w:val="515151"/>
                <w:sz w:val="18"/>
                <w:szCs w:val="18"/>
                <w:lang w:val="en-US"/>
              </w:rPr>
              <w:t xml:space="preserve">Unstandardized coefficients </w:t>
            </w:r>
            <w:r w:rsidRPr="006D39A7">
              <w:rPr>
                <w:b/>
                <w:color w:val="515151"/>
                <w:sz w:val="18"/>
                <w:szCs w:val="18"/>
                <w:lang w:val="en-US"/>
              </w:rPr>
              <w:t>(95% CI)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rFonts w:cs="Calibri"/>
                <w:b/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rFonts w:cs="Calibri"/>
                <w:b/>
                <w:color w:val="515151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rFonts w:cs="Calibri"/>
                <w:b/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rFonts w:cs="Calibri"/>
                <w:b/>
                <w:color w:val="515151"/>
                <w:sz w:val="18"/>
                <w:szCs w:val="18"/>
                <w:lang w:val="en-US"/>
              </w:rPr>
              <w:t xml:space="preserve">Unstandardized coefficients </w:t>
            </w:r>
            <w:r w:rsidRPr="006D39A7">
              <w:rPr>
                <w:b/>
                <w:color w:val="515151"/>
                <w:sz w:val="18"/>
                <w:szCs w:val="18"/>
                <w:lang w:val="en-US"/>
              </w:rPr>
              <w:t>(95% CI)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rFonts w:cs="Calibri"/>
                <w:b/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rFonts w:cs="Calibri"/>
                <w:b/>
                <w:color w:val="515151"/>
                <w:sz w:val="18"/>
                <w:szCs w:val="18"/>
                <w:lang w:val="en-US"/>
              </w:rPr>
              <w:t>Standardized coefficients</w:t>
            </w:r>
          </w:p>
        </w:tc>
      </w:tr>
      <w:tr w:rsidR="006D39A7" w:rsidRPr="006D39A7" w:rsidTr="00E90DBB">
        <w:trPr>
          <w:trHeight w:val="64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9A7" w:rsidRPr="006D39A7" w:rsidRDefault="006D39A7" w:rsidP="00E90DBB">
            <w:pPr>
              <w:pStyle w:val="Geenafstand"/>
              <w:rPr>
                <w:b/>
                <w:bCs/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b/>
                <w:bCs/>
                <w:color w:val="515151"/>
                <w:sz w:val="18"/>
                <w:szCs w:val="18"/>
                <w:lang w:val="en-US"/>
              </w:rPr>
              <w:t>BMI (kg/m</w:t>
            </w:r>
            <w:r w:rsidRPr="006D39A7">
              <w:rPr>
                <w:b/>
                <w:bCs/>
                <w:color w:val="515151"/>
                <w:sz w:val="18"/>
                <w:szCs w:val="18"/>
                <w:vertAlign w:val="superscript"/>
                <w:lang w:val="en-US"/>
              </w:rPr>
              <w:t>2</w:t>
            </w:r>
            <w:r w:rsidRPr="006D39A7">
              <w:rPr>
                <w:b/>
                <w:bCs/>
                <w:color w:val="515151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>-0.14 (-0.31;0.03)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>0.06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>-0.13 (-0.30;0.04)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>-0.05</w:t>
            </w:r>
          </w:p>
        </w:tc>
      </w:tr>
      <w:tr w:rsidR="006D39A7" w:rsidRPr="006D39A7" w:rsidTr="00E90DBB">
        <w:trPr>
          <w:trHeight w:val="48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9A7" w:rsidRPr="006D39A7" w:rsidRDefault="006D39A7" w:rsidP="00E90DBB">
            <w:pPr>
              <w:pStyle w:val="Geenafstand"/>
              <w:rPr>
                <w:b/>
                <w:bCs/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b/>
                <w:bCs/>
                <w:color w:val="515151"/>
                <w:sz w:val="18"/>
                <w:szCs w:val="18"/>
                <w:lang w:val="en-US"/>
              </w:rPr>
              <w:t>Level of education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</w:p>
        </w:tc>
      </w:tr>
      <w:tr w:rsidR="006D39A7" w:rsidRPr="006D39A7" w:rsidTr="00E90DBB">
        <w:trPr>
          <w:trHeight w:val="48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9A7" w:rsidRPr="006D39A7" w:rsidRDefault="006D39A7" w:rsidP="00E90DBB">
            <w:pPr>
              <w:pStyle w:val="Geenafstand"/>
              <w:jc w:val="right"/>
              <w:rPr>
                <w:bCs/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bCs/>
                <w:color w:val="515151"/>
                <w:sz w:val="18"/>
                <w:szCs w:val="18"/>
                <w:lang w:val="en-US"/>
              </w:rPr>
              <w:t>Moderate vs low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>0.40 (-1.14; 1.94)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>0.02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>-0.63 (-0.91;2.17)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>0.03</w:t>
            </w:r>
          </w:p>
        </w:tc>
      </w:tr>
      <w:tr w:rsidR="006D39A7" w:rsidRPr="006D39A7" w:rsidTr="00E90DBB">
        <w:trPr>
          <w:trHeight w:val="48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9A7" w:rsidRPr="006D39A7" w:rsidRDefault="006D39A7" w:rsidP="00E90DBB">
            <w:pPr>
              <w:pStyle w:val="Geenafstand"/>
              <w:jc w:val="right"/>
              <w:rPr>
                <w:bCs/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bCs/>
                <w:color w:val="515151"/>
                <w:sz w:val="18"/>
                <w:szCs w:val="18"/>
                <w:lang w:val="en-US"/>
              </w:rPr>
              <w:t>High vs low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>3.30 (1.22; 5.37)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>0.11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>3.45 (1.38; 5.53)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>0.12</w:t>
            </w:r>
          </w:p>
        </w:tc>
      </w:tr>
      <w:tr w:rsidR="006D39A7" w:rsidRPr="006D39A7" w:rsidTr="00E90DBB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9A7" w:rsidRPr="006D39A7" w:rsidRDefault="006D39A7" w:rsidP="00E90DBB">
            <w:pPr>
              <w:pStyle w:val="Geenafstand"/>
              <w:rPr>
                <w:b/>
                <w:bCs/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b/>
                <w:bCs/>
                <w:color w:val="515151"/>
                <w:sz w:val="18"/>
                <w:szCs w:val="18"/>
                <w:lang w:val="en-US"/>
              </w:rPr>
              <w:t>Financial distress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</w:p>
        </w:tc>
      </w:tr>
      <w:tr w:rsidR="006D39A7" w:rsidRPr="006D39A7" w:rsidTr="00E90DBB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9A7" w:rsidRPr="006D39A7" w:rsidRDefault="006D39A7" w:rsidP="00E90DBB">
            <w:pPr>
              <w:pStyle w:val="Geenafstand"/>
              <w:jc w:val="right"/>
              <w:rPr>
                <w:bCs/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bCs/>
                <w:color w:val="515151"/>
                <w:sz w:val="18"/>
                <w:szCs w:val="18"/>
                <w:lang w:val="en-US"/>
              </w:rPr>
              <w:t>Low vs none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>-1.40 (-2.92; 0.12)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>-0.07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>-1.33 (-2.85;0.19)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>-0.06</w:t>
            </w:r>
          </w:p>
        </w:tc>
      </w:tr>
      <w:tr w:rsidR="006D39A7" w:rsidRPr="006D39A7" w:rsidTr="00E90DBB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9A7" w:rsidRPr="006D39A7" w:rsidRDefault="006D39A7" w:rsidP="00E90DBB">
            <w:pPr>
              <w:pStyle w:val="Geenafstand"/>
              <w:jc w:val="right"/>
              <w:rPr>
                <w:bCs/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bCs/>
                <w:color w:val="515151"/>
                <w:sz w:val="18"/>
                <w:szCs w:val="18"/>
                <w:lang w:val="en-US"/>
              </w:rPr>
              <w:t>High vs none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>-1.16 (-3907; 1.56)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>-0.03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>-0.95 (-3.68;1.77)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>-0.03</w:t>
            </w:r>
          </w:p>
        </w:tc>
      </w:tr>
      <w:tr w:rsidR="006D39A7" w:rsidRPr="006D39A7" w:rsidTr="00E90DBB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9A7" w:rsidRPr="006D39A7" w:rsidRDefault="006D39A7" w:rsidP="00E90DBB">
            <w:pPr>
              <w:pStyle w:val="Geenafstand"/>
              <w:rPr>
                <w:b/>
                <w:bCs/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b/>
                <w:bCs/>
                <w:color w:val="515151"/>
                <w:sz w:val="18"/>
                <w:szCs w:val="18"/>
                <w:lang w:val="en-US"/>
              </w:rPr>
              <w:t>Health status (SF-12)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</w:p>
        </w:tc>
      </w:tr>
      <w:tr w:rsidR="006D39A7" w:rsidRPr="006D39A7" w:rsidTr="00E90DBB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9A7" w:rsidRPr="006D39A7" w:rsidRDefault="006D39A7" w:rsidP="00E90DBB">
            <w:pPr>
              <w:pStyle w:val="Geenafstand"/>
              <w:jc w:val="right"/>
              <w:rPr>
                <w:bCs/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bCs/>
                <w:color w:val="515151"/>
                <w:sz w:val="18"/>
                <w:szCs w:val="18"/>
                <w:lang w:val="en-US"/>
              </w:rPr>
              <w:t>Physical component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>0.05 (0.01;0.08)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>0.11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>0.04 (0.11;0.08)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>0.11</w:t>
            </w:r>
          </w:p>
        </w:tc>
      </w:tr>
      <w:tr w:rsidR="006D39A7" w:rsidRPr="006D39A7" w:rsidTr="00E90DBB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9A7" w:rsidRPr="006D39A7" w:rsidRDefault="006D39A7" w:rsidP="00E90DBB">
            <w:pPr>
              <w:pStyle w:val="Geenafstand"/>
              <w:rPr>
                <w:b/>
                <w:bCs/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b/>
                <w:bCs/>
                <w:color w:val="515151"/>
                <w:sz w:val="18"/>
                <w:szCs w:val="18"/>
                <w:lang w:val="en-US"/>
              </w:rPr>
              <w:t>Illness perception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>-0.15  (-0.22;-0.08)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>-0.18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>-0.15 (-0.22;-0.08)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>-0.18</w:t>
            </w:r>
          </w:p>
        </w:tc>
      </w:tr>
      <w:tr w:rsidR="006D39A7" w:rsidRPr="006D39A7" w:rsidTr="00E90DBB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9A7" w:rsidRPr="006D39A7" w:rsidRDefault="006D39A7" w:rsidP="00E90DBB">
            <w:pPr>
              <w:pStyle w:val="Geenafstand"/>
              <w:rPr>
                <w:b/>
                <w:bCs/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b/>
                <w:bCs/>
                <w:color w:val="515151"/>
                <w:sz w:val="18"/>
                <w:szCs w:val="18"/>
                <w:lang w:val="en-US"/>
              </w:rPr>
              <w:t xml:space="preserve">Social support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>0.09  (0.05;0.14)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>0.14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>0.16 (0.09;0.24)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>0.24</w:t>
            </w:r>
          </w:p>
        </w:tc>
      </w:tr>
      <w:tr w:rsidR="006D39A7" w:rsidRPr="006D39A7" w:rsidTr="00E90DBB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9A7" w:rsidRPr="006D39A7" w:rsidRDefault="006D39A7" w:rsidP="00E90DBB">
            <w:pPr>
              <w:pStyle w:val="Geenafstand"/>
              <w:rPr>
                <w:b/>
                <w:bCs/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b/>
                <w:bCs/>
                <w:color w:val="515151"/>
                <w:sz w:val="18"/>
                <w:szCs w:val="18"/>
                <w:lang w:val="en-US"/>
              </w:rPr>
              <w:t>Chronic disease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A7" w:rsidRPr="006D39A7" w:rsidRDefault="006D39A7" w:rsidP="00E90DBB">
            <w:pPr>
              <w:pStyle w:val="Geenafstand"/>
              <w:jc w:val="right"/>
              <w:rPr>
                <w:color w:val="515151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</w:p>
        </w:tc>
      </w:tr>
      <w:tr w:rsidR="006D39A7" w:rsidRPr="006D39A7" w:rsidTr="00E90DBB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9A7" w:rsidRPr="006D39A7" w:rsidRDefault="006D39A7" w:rsidP="00E90DBB">
            <w:pPr>
              <w:pStyle w:val="Geenafstand"/>
              <w:jc w:val="right"/>
              <w:rPr>
                <w:bCs/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bCs/>
                <w:color w:val="515151"/>
                <w:sz w:val="18"/>
                <w:szCs w:val="18"/>
                <w:lang w:val="en-US"/>
              </w:rPr>
              <w:t>COPD vs DM-II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>1.79 (-0.14;3.59)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>0.08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>10.47 (4.03;16.91)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>0.45</w:t>
            </w:r>
          </w:p>
        </w:tc>
      </w:tr>
      <w:tr w:rsidR="006D39A7" w:rsidRPr="006D39A7" w:rsidTr="00E90DBB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9A7" w:rsidRPr="006D39A7" w:rsidRDefault="006D39A7" w:rsidP="00E90DBB">
            <w:pPr>
              <w:pStyle w:val="Geenafstand"/>
              <w:jc w:val="right"/>
              <w:rPr>
                <w:bCs/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bCs/>
                <w:color w:val="515151"/>
                <w:sz w:val="18"/>
                <w:szCs w:val="18"/>
                <w:lang w:val="en-US"/>
              </w:rPr>
              <w:t>CHF vs DM-II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>0.97 (-1.37; 3.32)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>0.03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>3.19 (-6.76; 13.13)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>0.10</w:t>
            </w:r>
          </w:p>
        </w:tc>
      </w:tr>
      <w:tr w:rsidR="006D39A7" w:rsidRPr="006D39A7" w:rsidTr="00E90DBB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9A7" w:rsidRPr="006D39A7" w:rsidRDefault="006D39A7" w:rsidP="00E90DBB">
            <w:pPr>
              <w:pStyle w:val="Geenafstand"/>
              <w:jc w:val="right"/>
              <w:rPr>
                <w:bCs/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bCs/>
                <w:color w:val="515151"/>
                <w:sz w:val="18"/>
                <w:szCs w:val="18"/>
                <w:lang w:val="en-US"/>
              </w:rPr>
              <w:t>CRD vs DM-II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>-1.72 (-3.93;0.94)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>-0.06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>3.36 (-6.20;12.93)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>0.11</w:t>
            </w:r>
          </w:p>
        </w:tc>
      </w:tr>
      <w:tr w:rsidR="006D39A7" w:rsidRPr="006D39A7" w:rsidTr="00E90DBB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9A7" w:rsidRPr="006D39A7" w:rsidRDefault="006D39A7" w:rsidP="00E90DBB">
            <w:pPr>
              <w:pStyle w:val="Geenafstand"/>
              <w:rPr>
                <w:b/>
                <w:bCs/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b/>
                <w:bCs/>
                <w:color w:val="515151"/>
                <w:sz w:val="18"/>
                <w:szCs w:val="18"/>
                <w:lang w:val="en-US"/>
              </w:rPr>
              <w:t>Social support*COPD vs DM-II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>-0.14 (-0.24;-0.41)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>-0.39</w:t>
            </w:r>
          </w:p>
        </w:tc>
      </w:tr>
      <w:tr w:rsidR="006D39A7" w:rsidRPr="006D39A7" w:rsidTr="00E90DBB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9A7" w:rsidRPr="006D39A7" w:rsidRDefault="006D39A7" w:rsidP="00E90DBB">
            <w:pPr>
              <w:pStyle w:val="Geenafstand"/>
              <w:rPr>
                <w:b/>
                <w:bCs/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b/>
                <w:bCs/>
                <w:color w:val="515151"/>
                <w:sz w:val="18"/>
                <w:szCs w:val="18"/>
                <w:lang w:val="en-US"/>
              </w:rPr>
              <w:t>Social support*CHF vs DM-II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>-0.04 (-0.19;0.11)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>-0.08</w:t>
            </w:r>
          </w:p>
        </w:tc>
      </w:tr>
      <w:tr w:rsidR="006D39A7" w:rsidRPr="006D39A7" w:rsidTr="00E90DBB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A7" w:rsidRPr="006D39A7" w:rsidRDefault="006D39A7" w:rsidP="00E90DBB">
            <w:pPr>
              <w:pStyle w:val="Geenafstand"/>
              <w:rPr>
                <w:b/>
                <w:bCs/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b/>
                <w:bCs/>
                <w:color w:val="515151"/>
                <w:sz w:val="18"/>
                <w:szCs w:val="18"/>
                <w:lang w:val="en-US"/>
              </w:rPr>
              <w:t>Social support* CRD vs DM-II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>-0.08 (-0.23; 0.06)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39A7" w:rsidRPr="006D39A7" w:rsidRDefault="006D39A7" w:rsidP="00E90DBB">
            <w:pPr>
              <w:pStyle w:val="Geenafstand"/>
              <w:jc w:val="center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>-0.18</w:t>
            </w:r>
          </w:p>
        </w:tc>
      </w:tr>
      <w:tr w:rsidR="006D39A7" w:rsidRPr="006D39A7" w:rsidTr="00E90DBB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A7" w:rsidRPr="006D39A7" w:rsidRDefault="006D39A7" w:rsidP="00E90DBB">
            <w:pPr>
              <w:pStyle w:val="Geenafstand"/>
              <w:rPr>
                <w:b/>
                <w:bCs/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bCs/>
                <w:color w:val="515151"/>
                <w:sz w:val="18"/>
                <w:szCs w:val="18"/>
                <w:lang w:val="en-US"/>
              </w:rPr>
              <w:t>Explained variance of the model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9A7" w:rsidRPr="006D39A7" w:rsidRDefault="006D39A7" w:rsidP="00E90DBB">
            <w:pPr>
              <w:pStyle w:val="Geenafstand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 xml:space="preserve">    R</w:t>
            </w:r>
            <w:r w:rsidRPr="006D39A7">
              <w:rPr>
                <w:color w:val="515151"/>
                <w:sz w:val="18"/>
                <w:szCs w:val="18"/>
                <w:vertAlign w:val="superscript"/>
                <w:lang w:val="en-US"/>
              </w:rPr>
              <w:t>2</w:t>
            </w:r>
            <w:r w:rsidRPr="006D39A7">
              <w:rPr>
                <w:color w:val="515151"/>
                <w:sz w:val="18"/>
                <w:szCs w:val="18"/>
                <w:lang w:val="en-US"/>
              </w:rPr>
              <w:t>= 0.14,</w:t>
            </w:r>
          </w:p>
          <w:p w:rsidR="006D39A7" w:rsidRPr="006D39A7" w:rsidRDefault="006D39A7" w:rsidP="00E90DBB">
            <w:pPr>
              <w:pStyle w:val="Geenafstand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 xml:space="preserve">    adjusted  R</w:t>
            </w:r>
            <w:r w:rsidRPr="006D39A7">
              <w:rPr>
                <w:color w:val="515151"/>
                <w:sz w:val="18"/>
                <w:szCs w:val="18"/>
                <w:vertAlign w:val="superscript"/>
                <w:lang w:val="en-US"/>
              </w:rPr>
              <w:t>2</w:t>
            </w:r>
            <w:r w:rsidRPr="006D39A7">
              <w:rPr>
                <w:color w:val="515151"/>
                <w:sz w:val="18"/>
                <w:szCs w:val="18"/>
                <w:lang w:val="en-US"/>
              </w:rPr>
              <w:t xml:space="preserve">=0.13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9A7" w:rsidRPr="006D39A7" w:rsidRDefault="006D39A7" w:rsidP="00E90DBB">
            <w:pPr>
              <w:pStyle w:val="Geenafstand"/>
              <w:rPr>
                <w:color w:val="515151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9A7" w:rsidRPr="006D39A7" w:rsidRDefault="006D39A7" w:rsidP="00E90DBB">
            <w:pPr>
              <w:pStyle w:val="Geenafstand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 xml:space="preserve">    R</w:t>
            </w:r>
            <w:r w:rsidRPr="006D39A7">
              <w:rPr>
                <w:color w:val="515151"/>
                <w:sz w:val="18"/>
                <w:szCs w:val="18"/>
                <w:vertAlign w:val="superscript"/>
                <w:lang w:val="en-US"/>
              </w:rPr>
              <w:t>2</w:t>
            </w:r>
            <w:r w:rsidRPr="006D39A7">
              <w:rPr>
                <w:color w:val="515151"/>
                <w:sz w:val="18"/>
                <w:szCs w:val="18"/>
                <w:lang w:val="en-US"/>
              </w:rPr>
              <w:t>= 0.15,</w:t>
            </w:r>
          </w:p>
          <w:p w:rsidR="006D39A7" w:rsidRPr="006D39A7" w:rsidRDefault="006D39A7" w:rsidP="00E90DBB">
            <w:pPr>
              <w:pStyle w:val="Geenafstand"/>
              <w:rPr>
                <w:color w:val="515151"/>
                <w:sz w:val="18"/>
                <w:szCs w:val="18"/>
                <w:lang w:val="en-US"/>
              </w:rPr>
            </w:pPr>
            <w:r w:rsidRPr="006D39A7">
              <w:rPr>
                <w:color w:val="515151"/>
                <w:sz w:val="18"/>
                <w:szCs w:val="18"/>
                <w:lang w:val="en-US"/>
              </w:rPr>
              <w:t xml:space="preserve">    adjusted  R</w:t>
            </w:r>
            <w:r w:rsidRPr="006D39A7">
              <w:rPr>
                <w:color w:val="515151"/>
                <w:sz w:val="18"/>
                <w:szCs w:val="18"/>
                <w:vertAlign w:val="superscript"/>
                <w:lang w:val="en-US"/>
              </w:rPr>
              <w:t>2</w:t>
            </w:r>
            <w:r w:rsidRPr="006D39A7">
              <w:rPr>
                <w:color w:val="515151"/>
                <w:sz w:val="18"/>
                <w:szCs w:val="18"/>
                <w:lang w:val="en-US"/>
              </w:rPr>
              <w:t>=0.13</w:t>
            </w:r>
          </w:p>
        </w:tc>
      </w:tr>
      <w:bookmarkEnd w:id="0"/>
    </w:tbl>
    <w:p w:rsidR="00396931" w:rsidRDefault="00396931"/>
    <w:sectPr w:rsidR="003969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E3" w:rsidRDefault="00E71FE3" w:rsidP="00676433">
      <w:r>
        <w:separator/>
      </w:r>
    </w:p>
  </w:endnote>
  <w:endnote w:type="continuationSeparator" w:id="0">
    <w:p w:rsidR="00E71FE3" w:rsidRDefault="00E71FE3" w:rsidP="0067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E3" w:rsidRDefault="00E71FE3" w:rsidP="00676433">
      <w:r>
        <w:separator/>
      </w:r>
    </w:p>
  </w:footnote>
  <w:footnote w:type="continuationSeparator" w:id="0">
    <w:p w:rsidR="00E71FE3" w:rsidRDefault="00E71FE3" w:rsidP="00676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33" w:rsidRPr="00676433" w:rsidRDefault="00676433">
    <w:pPr>
      <w:pStyle w:val="Koptekst"/>
      <w:rPr>
        <w:rFonts w:asciiTheme="minorHAnsi" w:hAnsiTheme="minorHAnsi"/>
        <w:sz w:val="20"/>
        <w:szCs w:val="20"/>
      </w:rPr>
    </w:pPr>
    <w:r w:rsidRPr="00676433">
      <w:rPr>
        <w:rFonts w:asciiTheme="minorHAnsi" w:hAnsiTheme="minorHAnsi"/>
        <w:sz w:val="20"/>
        <w:szCs w:val="20"/>
      </w:rPr>
      <w:t xml:space="preserve">S2 Table. </w:t>
    </w:r>
    <w:r w:rsidRPr="00676433">
      <w:rPr>
        <w:rFonts w:asciiTheme="minorHAnsi" w:hAnsiTheme="minorHAnsi"/>
        <w:b/>
        <w:color w:val="515151"/>
        <w:sz w:val="20"/>
        <w:szCs w:val="20"/>
        <w:lang w:bidi="hi-IN"/>
      </w:rPr>
      <w:t>Linear regression analyses – multivariable associations of the determinants with activation for self-management in patients with no comorbid study diseases.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A7"/>
    <w:rsid w:val="000321A0"/>
    <w:rsid w:val="00064D81"/>
    <w:rsid w:val="000665D5"/>
    <w:rsid w:val="00084F33"/>
    <w:rsid w:val="000937CC"/>
    <w:rsid w:val="001408FB"/>
    <w:rsid w:val="00167164"/>
    <w:rsid w:val="001914C2"/>
    <w:rsid w:val="00196736"/>
    <w:rsid w:val="001C3180"/>
    <w:rsid w:val="001C6E64"/>
    <w:rsid w:val="00232647"/>
    <w:rsid w:val="002523DA"/>
    <w:rsid w:val="00261528"/>
    <w:rsid w:val="002C071B"/>
    <w:rsid w:val="002C21BC"/>
    <w:rsid w:val="002C4482"/>
    <w:rsid w:val="002F70D1"/>
    <w:rsid w:val="002F79CA"/>
    <w:rsid w:val="00300417"/>
    <w:rsid w:val="00300428"/>
    <w:rsid w:val="00301EBE"/>
    <w:rsid w:val="00345677"/>
    <w:rsid w:val="00370320"/>
    <w:rsid w:val="00396931"/>
    <w:rsid w:val="003D08B6"/>
    <w:rsid w:val="003F382E"/>
    <w:rsid w:val="00410A1C"/>
    <w:rsid w:val="00456C29"/>
    <w:rsid w:val="00492069"/>
    <w:rsid w:val="004F09BE"/>
    <w:rsid w:val="00531E5B"/>
    <w:rsid w:val="00550508"/>
    <w:rsid w:val="00577295"/>
    <w:rsid w:val="005825DE"/>
    <w:rsid w:val="005C127A"/>
    <w:rsid w:val="005C3BC5"/>
    <w:rsid w:val="005C5F2D"/>
    <w:rsid w:val="005E7A07"/>
    <w:rsid w:val="00676433"/>
    <w:rsid w:val="006D39A7"/>
    <w:rsid w:val="00712340"/>
    <w:rsid w:val="007437B0"/>
    <w:rsid w:val="00786C7C"/>
    <w:rsid w:val="00786F8B"/>
    <w:rsid w:val="007A2F4D"/>
    <w:rsid w:val="00823CF0"/>
    <w:rsid w:val="008261E7"/>
    <w:rsid w:val="00840DD4"/>
    <w:rsid w:val="008E1C57"/>
    <w:rsid w:val="008E79B3"/>
    <w:rsid w:val="008F70F9"/>
    <w:rsid w:val="009B1614"/>
    <w:rsid w:val="00A05BA6"/>
    <w:rsid w:val="00A24954"/>
    <w:rsid w:val="00A41BB4"/>
    <w:rsid w:val="00A91201"/>
    <w:rsid w:val="00AC294F"/>
    <w:rsid w:val="00AE30D5"/>
    <w:rsid w:val="00AF6F49"/>
    <w:rsid w:val="00B67972"/>
    <w:rsid w:val="00B86F5D"/>
    <w:rsid w:val="00BB5D7D"/>
    <w:rsid w:val="00BC4F25"/>
    <w:rsid w:val="00C2198C"/>
    <w:rsid w:val="00D02A0B"/>
    <w:rsid w:val="00D61259"/>
    <w:rsid w:val="00D6660A"/>
    <w:rsid w:val="00DE3283"/>
    <w:rsid w:val="00E02206"/>
    <w:rsid w:val="00E155D4"/>
    <w:rsid w:val="00E71FE3"/>
    <w:rsid w:val="00EC348F"/>
    <w:rsid w:val="00EF4189"/>
    <w:rsid w:val="00F264B5"/>
    <w:rsid w:val="00F3406B"/>
    <w:rsid w:val="00F858B6"/>
    <w:rsid w:val="00F9043B"/>
    <w:rsid w:val="00FB10C7"/>
    <w:rsid w:val="00FB5523"/>
    <w:rsid w:val="00FC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39A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6D39A7"/>
    <w:pPr>
      <w:spacing w:after="0" w:line="240" w:lineRule="auto"/>
    </w:pPr>
    <w:rPr>
      <w:rFonts w:ascii="Calibri" w:eastAsia="Calibri" w:hAnsi="Calibri" w:cs="Times New Roman"/>
      <w:lang w:val="nl-NL" w:eastAsia="nl-NL"/>
    </w:rPr>
  </w:style>
  <w:style w:type="character" w:customStyle="1" w:styleId="GeenafstandChar">
    <w:name w:val="Geen afstand Char"/>
    <w:link w:val="Geenafstand"/>
    <w:uiPriority w:val="1"/>
    <w:rsid w:val="006D39A7"/>
    <w:rPr>
      <w:rFonts w:ascii="Calibri" w:eastAsia="Calibri" w:hAnsi="Calibri" w:cs="Times New Roman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67643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6433"/>
    <w:rPr>
      <w:rFonts w:ascii="Times New Roman" w:eastAsia="Times New Roman" w:hAnsi="Times New Roman" w:cs="Times New Roman"/>
      <w:noProof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67643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6433"/>
    <w:rPr>
      <w:rFonts w:ascii="Times New Roman" w:eastAsia="Times New Roman" w:hAnsi="Times New Roman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39A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6D39A7"/>
    <w:pPr>
      <w:spacing w:after="0" w:line="240" w:lineRule="auto"/>
    </w:pPr>
    <w:rPr>
      <w:rFonts w:ascii="Calibri" w:eastAsia="Calibri" w:hAnsi="Calibri" w:cs="Times New Roman"/>
      <w:lang w:val="nl-NL" w:eastAsia="nl-NL"/>
    </w:rPr>
  </w:style>
  <w:style w:type="character" w:customStyle="1" w:styleId="GeenafstandChar">
    <w:name w:val="Geen afstand Char"/>
    <w:link w:val="Geenafstand"/>
    <w:uiPriority w:val="1"/>
    <w:rsid w:val="006D39A7"/>
    <w:rPr>
      <w:rFonts w:ascii="Calibri" w:eastAsia="Calibri" w:hAnsi="Calibri" w:cs="Times New Roman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67643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6433"/>
    <w:rPr>
      <w:rFonts w:ascii="Times New Roman" w:eastAsia="Times New Roman" w:hAnsi="Times New Roman" w:cs="Times New Roman"/>
      <w:noProof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67643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6433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Touwen-3, I.D.</dc:creator>
  <cp:lastModifiedBy>Lenovo</cp:lastModifiedBy>
  <cp:revision>2</cp:revision>
  <dcterms:created xsi:type="dcterms:W3CDTF">2015-04-01T08:02:00Z</dcterms:created>
  <dcterms:modified xsi:type="dcterms:W3CDTF">2015-04-01T08:02:00Z</dcterms:modified>
</cp:coreProperties>
</file>