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B2" w:rsidRPr="00293E5D" w:rsidRDefault="002236B2" w:rsidP="002236B2">
      <w:pPr>
        <w:spacing w:after="120" w:line="276" w:lineRule="auto"/>
        <w:jc w:val="both"/>
        <w:rPr>
          <w:rFonts w:ascii="Times New Roman" w:hAnsi="Times New Roman" w:cs="Times New Roman"/>
          <w:b/>
          <w:sz w:val="24"/>
          <w:lang w:val="en-GB" w:eastAsia="zh-CN"/>
        </w:rPr>
      </w:pPr>
      <w:r w:rsidRPr="00293E5D">
        <w:rPr>
          <w:rFonts w:ascii="Times New Roman" w:hAnsi="Times New Roman" w:cs="Times New Roman"/>
          <w:b/>
          <w:sz w:val="24"/>
          <w:lang w:val="en-US"/>
        </w:rPr>
        <w:t xml:space="preserve">Location of deletion </w:t>
      </w:r>
      <w:r w:rsidRPr="00293E5D">
        <w:rPr>
          <w:rFonts w:ascii="Times New Roman" w:hAnsi="Times New Roman" w:cs="Times New Roman"/>
          <w:b/>
          <w:sz w:val="24"/>
          <w:lang w:val="en-GB" w:eastAsia="zh-CN"/>
        </w:rPr>
        <w:t>rs3833080</w:t>
      </w:r>
      <w:r w:rsidRPr="00293E5D">
        <w:rPr>
          <w:rFonts w:ascii="Times New Roman" w:eastAsia="Calibri" w:hAnsi="Times New Roman" w:cs="Times New Roman"/>
          <w:b/>
          <w:sz w:val="24"/>
          <w:lang w:val="en-GB" w:eastAsia="zh-CN"/>
        </w:rPr>
        <w:t xml:space="preserve"> [</w:t>
      </w:r>
      <w:r w:rsidRPr="00293E5D">
        <w:rPr>
          <w:rFonts w:ascii="Times New Roman" w:hAnsi="Times New Roman" w:cs="Times New Roman"/>
          <w:b/>
          <w:i/>
          <w:sz w:val="24"/>
          <w:lang w:val="en-GB" w:eastAsia="zh-CN"/>
        </w:rPr>
        <w:t>APOBR</w:t>
      </w:r>
      <w:r w:rsidRPr="00293E5D">
        <w:rPr>
          <w:rFonts w:ascii="Times New Roman" w:hAnsi="Times New Roman" w:cs="Times New Roman"/>
          <w:b/>
          <w:sz w:val="24"/>
          <w:lang w:val="en-GB" w:eastAsia="zh-CN"/>
        </w:rPr>
        <w:t xml:space="preserve"> </w:t>
      </w:r>
      <w:r w:rsidRPr="00293E5D">
        <w:rPr>
          <w:rFonts w:ascii="Times New Roman" w:eastAsia="Calibri" w:hAnsi="Times New Roman" w:cs="Times New Roman"/>
          <w:b/>
          <w:sz w:val="24"/>
          <w:lang w:val="en-GB" w:eastAsia="zh-CN"/>
        </w:rPr>
        <w:t>p.Gly369_Asp370del9]</w:t>
      </w:r>
    </w:p>
    <w:p w:rsidR="002236B2" w:rsidRPr="00293E5D" w:rsidRDefault="002236B2" w:rsidP="002236B2">
      <w:pPr>
        <w:spacing w:after="120" w:line="276" w:lineRule="auto"/>
        <w:jc w:val="both"/>
        <w:rPr>
          <w:rFonts w:ascii="Times New Roman" w:hAnsi="Times New Roman" w:cs="Times New Roman"/>
          <w:sz w:val="24"/>
          <w:lang w:val="en-GB" w:eastAsia="zh-CN"/>
        </w:rPr>
      </w:pPr>
      <w:r w:rsidRPr="00293E5D">
        <w:rPr>
          <w:rFonts w:ascii="Times New Roman" w:eastAsia="Calibri" w:hAnsi="Times New Roman" w:cs="Times New Roman"/>
          <w:sz w:val="24"/>
          <w:lang w:val="en-GB" w:eastAsia="zh-CN"/>
        </w:rPr>
        <w:t>In the repeat region</w:t>
      </w:r>
      <w:r w:rsidRPr="00293E5D">
        <w:rPr>
          <w:rFonts w:ascii="Times New Roman" w:hAnsi="Times New Roman" w:cs="Times New Roman"/>
          <w:sz w:val="24"/>
          <w:lang w:val="en-GB" w:eastAsia="zh-CN"/>
        </w:rPr>
        <w:t xml:space="preserve"> of </w:t>
      </w:r>
      <w:r w:rsidRPr="00293E5D">
        <w:rPr>
          <w:rFonts w:ascii="Times New Roman" w:hAnsi="Times New Roman" w:cs="Times New Roman"/>
          <w:i/>
          <w:sz w:val="24"/>
          <w:lang w:val="en-GB" w:eastAsia="zh-CN"/>
        </w:rPr>
        <w:t>APOBR</w:t>
      </w:r>
      <w:r w:rsidRPr="00293E5D">
        <w:rPr>
          <w:rFonts w:ascii="Times New Roman" w:eastAsia="Calibri" w:hAnsi="Times New Roman" w:cs="Times New Roman"/>
          <w:sz w:val="24"/>
          <w:lang w:val="en-GB" w:eastAsia="zh-CN"/>
        </w:rPr>
        <w:t>, an amino acid motif [</w:t>
      </w:r>
      <w:proofErr w:type="spellStart"/>
      <w:r w:rsidRPr="00293E5D">
        <w:rPr>
          <w:rFonts w:ascii="Times New Roman" w:eastAsia="Calibri" w:hAnsi="Times New Roman" w:cs="Times New Roman"/>
          <w:sz w:val="24"/>
          <w:lang w:val="en-GB" w:eastAsia="zh-CN"/>
        </w:rPr>
        <w:t>GluGluAlaGlyThrAlaSerGlyGlyr</w:t>
      </w:r>
      <w:proofErr w:type="spellEnd"/>
      <w:r w:rsidRPr="00293E5D">
        <w:rPr>
          <w:rFonts w:ascii="Times New Roman" w:eastAsia="Calibri" w:hAnsi="Times New Roman" w:cs="Times New Roman"/>
          <w:sz w:val="24"/>
          <w:lang w:val="en-GB" w:eastAsia="zh-CN"/>
        </w:rPr>
        <w:t xml:space="preserve">] is repeated three times exactly and 8 times with small alterations [26]. This repeat region includes a small intron which correlates with one exact repeat length of 27 bps. </w:t>
      </w:r>
      <w:r w:rsidRPr="00293E5D">
        <w:rPr>
          <w:rFonts w:ascii="Times New Roman" w:hAnsi="Times New Roman" w:cs="Times New Roman"/>
          <w:sz w:val="24"/>
          <w:lang w:val="en-GB" w:eastAsia="zh-CN"/>
        </w:rPr>
        <w:t xml:space="preserve">The deletion we detected covers one of the exact repeats and could therefore either affect the coding sequence of the repeat region (e.g. reducing the total number of amino acid repeats) or cut out the small intron which would leave the coding sequence unaffected. </w:t>
      </w:r>
      <w:r w:rsidRPr="00293E5D">
        <w:rPr>
          <w:rFonts w:ascii="Times New Roman" w:eastAsia="Calibri" w:hAnsi="Times New Roman" w:cs="Times New Roman"/>
          <w:sz w:val="24"/>
          <w:lang w:val="en-GB" w:eastAsia="zh-CN"/>
        </w:rPr>
        <w:t xml:space="preserve">The </w:t>
      </w:r>
      <w:proofErr w:type="spellStart"/>
      <w:r w:rsidRPr="00293E5D">
        <w:rPr>
          <w:rFonts w:ascii="Times New Roman" w:eastAsia="Calibri" w:hAnsi="Times New Roman" w:cs="Times New Roman"/>
          <w:sz w:val="24"/>
          <w:lang w:val="en-GB" w:eastAsia="zh-CN"/>
        </w:rPr>
        <w:t>dbSNP</w:t>
      </w:r>
      <w:proofErr w:type="spellEnd"/>
      <w:r w:rsidRPr="00293E5D">
        <w:rPr>
          <w:rFonts w:ascii="Times New Roman" w:eastAsia="Calibri" w:hAnsi="Times New Roman" w:cs="Times New Roman"/>
          <w:sz w:val="24"/>
          <w:lang w:val="en-GB" w:eastAsia="zh-CN"/>
        </w:rPr>
        <w:t xml:space="preserve"> lists an </w:t>
      </w:r>
      <w:proofErr w:type="spellStart"/>
      <w:r w:rsidRPr="00293E5D">
        <w:rPr>
          <w:rFonts w:ascii="Times New Roman" w:eastAsia="Calibri" w:hAnsi="Times New Roman" w:cs="Times New Roman"/>
          <w:sz w:val="24"/>
          <w:lang w:val="en-GB" w:eastAsia="zh-CN"/>
        </w:rPr>
        <w:t>InDel</w:t>
      </w:r>
      <w:proofErr w:type="spellEnd"/>
      <w:r w:rsidRPr="00293E5D">
        <w:rPr>
          <w:rFonts w:ascii="Times New Roman" w:eastAsia="Calibri" w:hAnsi="Times New Roman" w:cs="Times New Roman"/>
          <w:sz w:val="24"/>
          <w:lang w:val="en-GB" w:eastAsia="zh-CN"/>
        </w:rPr>
        <w:t xml:space="preserve"> (</w:t>
      </w:r>
      <w:r w:rsidRPr="00293E5D">
        <w:rPr>
          <w:rFonts w:ascii="Times New Roman" w:hAnsi="Times New Roman" w:cs="Times New Roman"/>
          <w:sz w:val="24"/>
          <w:lang w:val="en-GB" w:eastAsia="zh-CN"/>
        </w:rPr>
        <w:t>rs3833080</w:t>
      </w:r>
      <w:r w:rsidRPr="00293E5D">
        <w:rPr>
          <w:rFonts w:ascii="Times New Roman" w:eastAsia="Calibri" w:hAnsi="Times New Roman" w:cs="Times New Roman"/>
          <w:sz w:val="24"/>
          <w:lang w:val="en-GB" w:eastAsia="zh-CN"/>
        </w:rPr>
        <w:t xml:space="preserve">) of the same 27bp sequence with a coding outcome and a comparable minor allele frequency (MAF CEU 0.45). We therefore assume that the detected deletion is the coding deletion </w:t>
      </w:r>
      <w:r w:rsidRPr="00293E5D">
        <w:rPr>
          <w:rFonts w:ascii="Times New Roman" w:hAnsi="Times New Roman" w:cs="Times New Roman"/>
          <w:sz w:val="24"/>
          <w:lang w:val="en-GB" w:eastAsia="zh-CN"/>
        </w:rPr>
        <w:t>rs3833080</w:t>
      </w:r>
      <w:r w:rsidRPr="00293E5D">
        <w:rPr>
          <w:rFonts w:ascii="Times New Roman" w:eastAsia="Calibri" w:hAnsi="Times New Roman" w:cs="Times New Roman"/>
          <w:sz w:val="24"/>
          <w:lang w:val="en-GB" w:eastAsia="zh-CN"/>
        </w:rPr>
        <w:t xml:space="preserve"> [</w:t>
      </w:r>
      <w:r w:rsidRPr="00293E5D">
        <w:rPr>
          <w:rFonts w:ascii="Times New Roman" w:hAnsi="Times New Roman" w:cs="Times New Roman"/>
          <w:i/>
          <w:sz w:val="24"/>
          <w:lang w:val="en-GB" w:eastAsia="zh-CN"/>
        </w:rPr>
        <w:t>APOBR</w:t>
      </w:r>
      <w:r w:rsidRPr="00293E5D">
        <w:rPr>
          <w:rFonts w:ascii="Times New Roman" w:hAnsi="Times New Roman" w:cs="Times New Roman"/>
          <w:sz w:val="24"/>
          <w:lang w:val="en-GB" w:eastAsia="zh-CN"/>
        </w:rPr>
        <w:t xml:space="preserve"> </w:t>
      </w:r>
      <w:r w:rsidRPr="00293E5D">
        <w:rPr>
          <w:rFonts w:ascii="Times New Roman" w:eastAsia="Calibri" w:hAnsi="Times New Roman" w:cs="Times New Roman"/>
          <w:sz w:val="24"/>
          <w:lang w:val="en-GB" w:eastAsia="zh-CN"/>
        </w:rPr>
        <w:t>p.Gly369_Asp370del9] (</w:t>
      </w:r>
      <w:r w:rsidRPr="00293E5D">
        <w:rPr>
          <w:rFonts w:ascii="Times New Roman" w:hAnsi="Times New Roman" w:cs="Times New Roman"/>
          <w:sz w:val="24"/>
          <w:lang w:val="en-GB" w:eastAsia="zh-CN"/>
        </w:rPr>
        <w:t>Figure S1</w:t>
      </w:r>
      <w:r w:rsidRPr="00293E5D">
        <w:rPr>
          <w:rFonts w:ascii="Times New Roman" w:eastAsia="Calibri" w:hAnsi="Times New Roman" w:cs="Times New Roman"/>
          <w:sz w:val="24"/>
          <w:lang w:val="en-GB" w:eastAsia="zh-CN"/>
        </w:rPr>
        <w:t>).</w:t>
      </w:r>
    </w:p>
    <w:p w:rsidR="002236B2" w:rsidRPr="00293E5D" w:rsidRDefault="002236B2" w:rsidP="002236B2">
      <w:pPr>
        <w:spacing w:after="120" w:line="276" w:lineRule="auto"/>
        <w:jc w:val="both"/>
        <w:rPr>
          <w:rFonts w:ascii="Times New Roman" w:hAnsi="Times New Roman" w:cs="Times New Roman"/>
          <w:szCs w:val="22"/>
          <w:lang w:val="en-GB" w:eastAsia="zh-CN"/>
        </w:rPr>
      </w:pPr>
      <w:r w:rsidRPr="00293E5D">
        <w:rPr>
          <w:rFonts w:ascii="Times New Roman" w:hAnsi="Times New Roman" w:cs="Times New Roman"/>
          <w:noProof/>
          <w:lang w:val="en-US" w:eastAsia="en-US"/>
        </w:rPr>
        <w:drawing>
          <wp:inline distT="0" distB="0" distL="0" distR="0" wp14:anchorId="51AE378C" wp14:editId="2395D53F">
            <wp:extent cx="5748655" cy="2023745"/>
            <wp:effectExtent l="19050" t="0" r="4445" b="0"/>
            <wp:docPr id="2" name="Bild 21" descr="Alignment apob repeat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Alignment apob repeat region"/>
                    <pic:cNvPicPr>
                      <a:picLocks noChangeAspect="1" noChangeArrowheads="1"/>
                    </pic:cNvPicPr>
                  </pic:nvPicPr>
                  <pic:blipFill>
                    <a:blip r:embed="rId4" cstate="print"/>
                    <a:srcRect b="53249"/>
                    <a:stretch>
                      <a:fillRect/>
                    </a:stretch>
                  </pic:blipFill>
                  <pic:spPr bwMode="auto">
                    <a:xfrm>
                      <a:off x="0" y="0"/>
                      <a:ext cx="5748655" cy="2023745"/>
                    </a:xfrm>
                    <a:prstGeom prst="rect">
                      <a:avLst/>
                    </a:prstGeom>
                    <a:noFill/>
                    <a:ln w="9525">
                      <a:noFill/>
                      <a:miter lim="800000"/>
                      <a:headEnd/>
                      <a:tailEnd/>
                    </a:ln>
                  </pic:spPr>
                </pic:pic>
              </a:graphicData>
            </a:graphic>
          </wp:inline>
        </w:drawing>
      </w:r>
    </w:p>
    <w:p w:rsidR="002236B2" w:rsidRPr="00293E5D" w:rsidRDefault="002236B2" w:rsidP="002236B2">
      <w:pPr>
        <w:spacing w:after="120" w:line="276" w:lineRule="auto"/>
        <w:jc w:val="both"/>
        <w:rPr>
          <w:rFonts w:ascii="Times New Roman" w:hAnsi="Times New Roman" w:cs="Times New Roman"/>
          <w:sz w:val="24"/>
          <w:lang w:val="en-GB" w:eastAsia="zh-CN"/>
        </w:rPr>
      </w:pPr>
      <w:r w:rsidRPr="00293E5D">
        <w:rPr>
          <w:rFonts w:ascii="Times New Roman" w:hAnsi="Times New Roman" w:cs="Times New Roman"/>
          <w:b/>
          <w:sz w:val="24"/>
          <w:lang w:val="en-GB" w:eastAsia="zh-CN"/>
        </w:rPr>
        <w:t>Supplementary Figure 1:</w:t>
      </w:r>
      <w:r w:rsidRPr="00293E5D">
        <w:rPr>
          <w:rFonts w:ascii="Times New Roman" w:hAnsi="Times New Roman" w:cs="Times New Roman"/>
          <w:sz w:val="24"/>
          <w:lang w:val="en-GB" w:eastAsia="zh-CN"/>
        </w:rPr>
        <w:t xml:space="preserve"> DNA sequence of APOBR at the position of Del2 (rs3833080 [Ala345_Gly346delAlaGlyThrAlaSerGlyGlyGluGluAlaGly]). Several potential positions of the deletion are displayed below the wild type sequence of the repeat region. The sequence marked with rs3833080 is given in the SNP database of the National </w:t>
      </w:r>
      <w:proofErr w:type="spellStart"/>
      <w:r w:rsidRPr="00293E5D">
        <w:rPr>
          <w:rFonts w:ascii="Times New Roman" w:hAnsi="Times New Roman" w:cs="Times New Roman"/>
          <w:sz w:val="24"/>
          <w:lang w:val="en-GB" w:eastAsia="zh-CN"/>
        </w:rPr>
        <w:t>Center</w:t>
      </w:r>
      <w:proofErr w:type="spellEnd"/>
      <w:r w:rsidRPr="00293E5D">
        <w:rPr>
          <w:rFonts w:ascii="Times New Roman" w:hAnsi="Times New Roman" w:cs="Times New Roman"/>
          <w:sz w:val="24"/>
          <w:lang w:val="en-GB" w:eastAsia="zh-CN"/>
        </w:rPr>
        <w:t xml:space="preserve"> for Biotechnology Information (http://www.ncbi.nlm.nih.gov/snp/).</w:t>
      </w:r>
    </w:p>
    <w:p w:rsidR="009950FA" w:rsidRDefault="009950FA">
      <w:bookmarkStart w:id="0" w:name="_GoBack"/>
      <w:bookmarkEnd w:id="0"/>
    </w:p>
    <w:sectPr w:rsidR="00995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B2"/>
    <w:rsid w:val="002236B2"/>
    <w:rsid w:val="00470BD6"/>
    <w:rsid w:val="0099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A01B3-F657-4B1B-A17F-CAC4B9B1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B2"/>
    <w:pPr>
      <w:spacing w:after="0" w:line="240" w:lineRule="auto"/>
    </w:pPr>
    <w:rPr>
      <w:rFonts w:ascii="Arial" w:hAnsi="Arial"/>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Baker</dc:creator>
  <cp:keywords/>
  <dc:description/>
  <cp:lastModifiedBy>Lydia Baker</cp:lastModifiedBy>
  <cp:revision>1</cp:revision>
  <dcterms:created xsi:type="dcterms:W3CDTF">2015-04-25T19:36:00Z</dcterms:created>
  <dcterms:modified xsi:type="dcterms:W3CDTF">2015-04-25T19:37:00Z</dcterms:modified>
</cp:coreProperties>
</file>