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C1E4" w14:textId="6CCA3C90" w:rsidR="00871979" w:rsidRDefault="00460D7F" w:rsidP="00460D7F">
      <w:pPr>
        <w:ind w:left="-270"/>
        <w:rPr>
          <w:b/>
        </w:rPr>
      </w:pPr>
      <w:r>
        <w:t xml:space="preserve"> </w:t>
      </w:r>
      <w:r w:rsidRPr="00460D7F">
        <w:rPr>
          <w:b/>
        </w:rPr>
        <w:t xml:space="preserve">Supplementary Table </w:t>
      </w:r>
      <w:r w:rsidR="00F05D1F">
        <w:rPr>
          <w:b/>
        </w:rPr>
        <w:t>2</w:t>
      </w:r>
    </w:p>
    <w:p w14:paraId="0C2230C0" w14:textId="77777777" w:rsidR="00460D7F" w:rsidRPr="00460D7F" w:rsidRDefault="00460D7F" w:rsidP="00460D7F">
      <w:pPr>
        <w:ind w:left="-270"/>
        <w:rPr>
          <w:b/>
        </w:rPr>
      </w:pPr>
      <w:bookmarkStart w:id="0" w:name="_GoBack"/>
    </w:p>
    <w:tbl>
      <w:tblPr>
        <w:tblStyle w:val="TableGrid"/>
        <w:tblpPr w:leftFromText="180" w:rightFromText="180" w:vertAnchor="page" w:horzAnchor="page" w:tblpX="1729" w:tblpY="6301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888"/>
      </w:tblGrid>
      <w:tr w:rsidR="00460D7F" w14:paraId="05500872" w14:textId="77777777" w:rsidTr="00871979">
        <w:tc>
          <w:tcPr>
            <w:tcW w:w="1265" w:type="dxa"/>
          </w:tcPr>
          <w:bookmarkEnd w:id="0"/>
          <w:p w14:paraId="1BC4B448" w14:textId="41185C86" w:rsidR="00460D7F" w:rsidRDefault="00460D7F" w:rsidP="00871979">
            <w:r>
              <w:t xml:space="preserve">Cell Line </w:t>
            </w:r>
          </w:p>
        </w:tc>
        <w:tc>
          <w:tcPr>
            <w:tcW w:w="1265" w:type="dxa"/>
          </w:tcPr>
          <w:p w14:paraId="6444F7A9" w14:textId="77777777" w:rsidR="00460D7F" w:rsidRDefault="00460D7F" w:rsidP="00871979">
            <w:r>
              <w:t>Number of G0 colonies</w:t>
            </w:r>
          </w:p>
        </w:tc>
        <w:tc>
          <w:tcPr>
            <w:tcW w:w="1265" w:type="dxa"/>
          </w:tcPr>
          <w:p w14:paraId="44DDEF80" w14:textId="77777777" w:rsidR="00460D7F" w:rsidRDefault="00460D7F" w:rsidP="00871979">
            <w:r>
              <w:t>Number of G1 colonies</w:t>
            </w:r>
          </w:p>
        </w:tc>
        <w:tc>
          <w:tcPr>
            <w:tcW w:w="1265" w:type="dxa"/>
          </w:tcPr>
          <w:p w14:paraId="1139EAED" w14:textId="77777777" w:rsidR="00460D7F" w:rsidRDefault="00460D7F" w:rsidP="00871979">
            <w:r>
              <w:t>Total number of colonies</w:t>
            </w:r>
          </w:p>
        </w:tc>
        <w:tc>
          <w:tcPr>
            <w:tcW w:w="1888" w:type="dxa"/>
          </w:tcPr>
          <w:p w14:paraId="75F64F60" w14:textId="4A17C0F3" w:rsidR="00460D7F" w:rsidRDefault="00993A4C" w:rsidP="00871979">
            <w:r>
              <w:t>Inferred genotype</w:t>
            </w:r>
          </w:p>
        </w:tc>
      </w:tr>
      <w:tr w:rsidR="00460D7F" w14:paraId="729F16FE" w14:textId="77777777" w:rsidTr="00871979">
        <w:tc>
          <w:tcPr>
            <w:tcW w:w="1265" w:type="dxa"/>
          </w:tcPr>
          <w:p w14:paraId="6A60A68C" w14:textId="77777777" w:rsidR="00460D7F" w:rsidRDefault="00460D7F" w:rsidP="00871979">
            <w:r>
              <w:t>NA 19701</w:t>
            </w:r>
          </w:p>
        </w:tc>
        <w:tc>
          <w:tcPr>
            <w:tcW w:w="1265" w:type="dxa"/>
          </w:tcPr>
          <w:p w14:paraId="18E23E5A" w14:textId="77777777" w:rsidR="00460D7F" w:rsidRDefault="00460D7F" w:rsidP="00871979">
            <w:r>
              <w:t>22</w:t>
            </w:r>
          </w:p>
        </w:tc>
        <w:tc>
          <w:tcPr>
            <w:tcW w:w="1265" w:type="dxa"/>
          </w:tcPr>
          <w:p w14:paraId="3A7EAEFB" w14:textId="77777777" w:rsidR="00460D7F" w:rsidRDefault="00460D7F" w:rsidP="00871979">
            <w:r>
              <w:t>14</w:t>
            </w:r>
          </w:p>
        </w:tc>
        <w:tc>
          <w:tcPr>
            <w:tcW w:w="1265" w:type="dxa"/>
          </w:tcPr>
          <w:p w14:paraId="290B9413" w14:textId="77777777" w:rsidR="00460D7F" w:rsidRDefault="00460D7F" w:rsidP="00871979">
            <w:r>
              <w:t>36</w:t>
            </w:r>
          </w:p>
        </w:tc>
        <w:tc>
          <w:tcPr>
            <w:tcW w:w="1888" w:type="dxa"/>
          </w:tcPr>
          <w:p w14:paraId="3C3C5BEB" w14:textId="77777777" w:rsidR="00460D7F" w:rsidRDefault="00460D7F" w:rsidP="00871979">
            <w:r>
              <w:t>G0G0G1</w:t>
            </w:r>
          </w:p>
        </w:tc>
      </w:tr>
      <w:tr w:rsidR="00460D7F" w14:paraId="4F3F91E4" w14:textId="77777777" w:rsidTr="00871979">
        <w:tc>
          <w:tcPr>
            <w:tcW w:w="1265" w:type="dxa"/>
          </w:tcPr>
          <w:p w14:paraId="5C41F932" w14:textId="77777777" w:rsidR="00460D7F" w:rsidRDefault="00460D7F" w:rsidP="00871979">
            <w:r>
              <w:t>NA 19702</w:t>
            </w:r>
          </w:p>
        </w:tc>
        <w:tc>
          <w:tcPr>
            <w:tcW w:w="1265" w:type="dxa"/>
          </w:tcPr>
          <w:p w14:paraId="6A01D4CB" w14:textId="77777777" w:rsidR="00460D7F" w:rsidRDefault="00460D7F" w:rsidP="00871979">
            <w:r>
              <w:t>19</w:t>
            </w:r>
          </w:p>
        </w:tc>
        <w:tc>
          <w:tcPr>
            <w:tcW w:w="1265" w:type="dxa"/>
          </w:tcPr>
          <w:p w14:paraId="634D6395" w14:textId="77777777" w:rsidR="00460D7F" w:rsidRDefault="00460D7F" w:rsidP="00871979">
            <w:r>
              <w:t>17</w:t>
            </w:r>
          </w:p>
        </w:tc>
        <w:tc>
          <w:tcPr>
            <w:tcW w:w="1265" w:type="dxa"/>
          </w:tcPr>
          <w:p w14:paraId="2AF2444A" w14:textId="77777777" w:rsidR="00460D7F" w:rsidRDefault="00460D7F" w:rsidP="00871979">
            <w:r>
              <w:t>36</w:t>
            </w:r>
          </w:p>
        </w:tc>
        <w:tc>
          <w:tcPr>
            <w:tcW w:w="1888" w:type="dxa"/>
          </w:tcPr>
          <w:p w14:paraId="2B3299B5" w14:textId="77777777" w:rsidR="00460D7F" w:rsidRDefault="00460D7F" w:rsidP="00871979">
            <w:r>
              <w:t>G0G1</w:t>
            </w:r>
          </w:p>
        </w:tc>
      </w:tr>
      <w:tr w:rsidR="00460D7F" w14:paraId="696C7BE2" w14:textId="77777777" w:rsidTr="00871979">
        <w:tc>
          <w:tcPr>
            <w:tcW w:w="1265" w:type="dxa"/>
          </w:tcPr>
          <w:p w14:paraId="54CCA933" w14:textId="77777777" w:rsidR="00460D7F" w:rsidRDefault="00460D7F" w:rsidP="00871979">
            <w:r>
              <w:t>NA 19372</w:t>
            </w:r>
          </w:p>
        </w:tc>
        <w:tc>
          <w:tcPr>
            <w:tcW w:w="1265" w:type="dxa"/>
          </w:tcPr>
          <w:p w14:paraId="4A83ED68" w14:textId="77777777" w:rsidR="00460D7F" w:rsidRDefault="00460D7F" w:rsidP="00871979">
            <w:r>
              <w:t>26</w:t>
            </w:r>
          </w:p>
        </w:tc>
        <w:tc>
          <w:tcPr>
            <w:tcW w:w="1265" w:type="dxa"/>
          </w:tcPr>
          <w:p w14:paraId="42378D7E" w14:textId="77777777" w:rsidR="00460D7F" w:rsidRDefault="00460D7F" w:rsidP="00871979">
            <w:r>
              <w:t>10</w:t>
            </w:r>
          </w:p>
        </w:tc>
        <w:tc>
          <w:tcPr>
            <w:tcW w:w="1265" w:type="dxa"/>
          </w:tcPr>
          <w:p w14:paraId="683BE506" w14:textId="77777777" w:rsidR="00460D7F" w:rsidRDefault="00460D7F" w:rsidP="00871979">
            <w:r>
              <w:t>36</w:t>
            </w:r>
          </w:p>
        </w:tc>
        <w:tc>
          <w:tcPr>
            <w:tcW w:w="1888" w:type="dxa"/>
          </w:tcPr>
          <w:p w14:paraId="5CCE179B" w14:textId="77777777" w:rsidR="00460D7F" w:rsidRDefault="00460D7F" w:rsidP="00871979">
            <w:r>
              <w:t>G0G0G0G1</w:t>
            </w:r>
          </w:p>
        </w:tc>
      </w:tr>
    </w:tbl>
    <w:p w14:paraId="540E9445" w14:textId="2C556757" w:rsidR="00B2595E" w:rsidRPr="00871979" w:rsidRDefault="007F5B71" w:rsidP="00871979">
      <w:pPr>
        <w:ind w:left="-180"/>
        <w:rPr>
          <w:b/>
        </w:rPr>
      </w:pPr>
      <w:r>
        <w:rPr>
          <w:b/>
        </w:rPr>
        <w:t>APOL1</w:t>
      </w:r>
      <w:r w:rsidR="00871979" w:rsidRPr="00871979">
        <w:rPr>
          <w:b/>
        </w:rPr>
        <w:t xml:space="preserve"> fragment ampli</w:t>
      </w:r>
      <w:r>
        <w:rPr>
          <w:b/>
        </w:rPr>
        <w:t>fi</w:t>
      </w:r>
      <w:r w:rsidR="00871979" w:rsidRPr="00871979">
        <w:rPr>
          <w:b/>
        </w:rPr>
        <w:t xml:space="preserve">cation </w:t>
      </w:r>
      <w:r>
        <w:rPr>
          <w:b/>
        </w:rPr>
        <w:t xml:space="preserve">and </w:t>
      </w:r>
      <w:proofErr w:type="spellStart"/>
      <w:r>
        <w:rPr>
          <w:b/>
        </w:rPr>
        <w:t>subcloning</w:t>
      </w:r>
      <w:proofErr w:type="spellEnd"/>
      <w:r>
        <w:rPr>
          <w:b/>
        </w:rPr>
        <w:t xml:space="preserve"> </w:t>
      </w:r>
      <w:r w:rsidR="00871979" w:rsidRPr="00871979">
        <w:rPr>
          <w:b/>
        </w:rPr>
        <w:t>study</w:t>
      </w:r>
    </w:p>
    <w:tbl>
      <w:tblPr>
        <w:tblStyle w:val="TableGrid"/>
        <w:tblpPr w:leftFromText="180" w:rightFromText="180" w:vertAnchor="page" w:horzAnchor="page" w:tblpX="1729" w:tblpY="3241"/>
        <w:tblW w:w="0" w:type="auto"/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1258"/>
        <w:gridCol w:w="1257"/>
        <w:gridCol w:w="1334"/>
      </w:tblGrid>
      <w:tr w:rsidR="00460D7F" w14:paraId="2C97CAA9" w14:textId="77777777" w:rsidTr="00871979">
        <w:tc>
          <w:tcPr>
            <w:tcW w:w="1262" w:type="dxa"/>
          </w:tcPr>
          <w:p w14:paraId="7C3CD2C6" w14:textId="0B31AF63" w:rsidR="00460D7F" w:rsidRDefault="00460D7F" w:rsidP="00871979">
            <w:r>
              <w:t>Cell Line</w:t>
            </w:r>
          </w:p>
        </w:tc>
        <w:tc>
          <w:tcPr>
            <w:tcW w:w="1258" w:type="dxa"/>
          </w:tcPr>
          <w:p w14:paraId="446EF3E2" w14:textId="77777777" w:rsidR="00460D7F" w:rsidRDefault="00460D7F" w:rsidP="00871979">
            <w:r>
              <w:t>Number of G0 colonies</w:t>
            </w:r>
          </w:p>
        </w:tc>
        <w:tc>
          <w:tcPr>
            <w:tcW w:w="1258" w:type="dxa"/>
          </w:tcPr>
          <w:p w14:paraId="6F8F0BFA" w14:textId="77777777" w:rsidR="00460D7F" w:rsidRDefault="00460D7F" w:rsidP="00871979">
            <w:r>
              <w:t>Number of G1 colonies</w:t>
            </w:r>
          </w:p>
        </w:tc>
        <w:tc>
          <w:tcPr>
            <w:tcW w:w="1258" w:type="dxa"/>
          </w:tcPr>
          <w:p w14:paraId="5DCB5EB8" w14:textId="77777777" w:rsidR="00460D7F" w:rsidRDefault="00460D7F" w:rsidP="00871979">
            <w:r>
              <w:t>Total number of colonies</w:t>
            </w:r>
          </w:p>
        </w:tc>
        <w:tc>
          <w:tcPr>
            <w:tcW w:w="1257" w:type="dxa"/>
          </w:tcPr>
          <w:p w14:paraId="5DFD9E12" w14:textId="77777777" w:rsidR="00460D7F" w:rsidRDefault="00460D7F" w:rsidP="00871979">
            <w:r>
              <w:t xml:space="preserve">Copy number by </w:t>
            </w:r>
            <w:proofErr w:type="spellStart"/>
            <w:r>
              <w:t>Taqman</w:t>
            </w:r>
            <w:proofErr w:type="spellEnd"/>
          </w:p>
        </w:tc>
        <w:tc>
          <w:tcPr>
            <w:tcW w:w="1334" w:type="dxa"/>
          </w:tcPr>
          <w:p w14:paraId="65A60196" w14:textId="6E0ACC64" w:rsidR="00460D7F" w:rsidRDefault="00623151" w:rsidP="00871979">
            <w:r>
              <w:t>Inferred</w:t>
            </w:r>
            <w:r w:rsidR="00460D7F">
              <w:t xml:space="preserve"> genotype</w:t>
            </w:r>
          </w:p>
        </w:tc>
      </w:tr>
      <w:tr w:rsidR="00460D7F" w14:paraId="344D4463" w14:textId="77777777" w:rsidTr="00871979">
        <w:tc>
          <w:tcPr>
            <w:tcW w:w="1262" w:type="dxa"/>
          </w:tcPr>
          <w:p w14:paraId="56466FD6" w14:textId="77777777" w:rsidR="00460D7F" w:rsidRDefault="00460D7F" w:rsidP="00871979">
            <w:r>
              <w:t>NA 19701</w:t>
            </w:r>
          </w:p>
        </w:tc>
        <w:tc>
          <w:tcPr>
            <w:tcW w:w="1258" w:type="dxa"/>
          </w:tcPr>
          <w:p w14:paraId="673D58A7" w14:textId="77777777" w:rsidR="00460D7F" w:rsidRDefault="00460D7F" w:rsidP="00871979">
            <w:r>
              <w:t>15</w:t>
            </w:r>
          </w:p>
        </w:tc>
        <w:tc>
          <w:tcPr>
            <w:tcW w:w="1258" w:type="dxa"/>
          </w:tcPr>
          <w:p w14:paraId="377EFECC" w14:textId="77777777" w:rsidR="00460D7F" w:rsidRDefault="00460D7F" w:rsidP="00871979">
            <w:r>
              <w:t>9</w:t>
            </w:r>
          </w:p>
        </w:tc>
        <w:tc>
          <w:tcPr>
            <w:tcW w:w="1258" w:type="dxa"/>
          </w:tcPr>
          <w:p w14:paraId="1E01A2D1" w14:textId="77777777" w:rsidR="00460D7F" w:rsidRDefault="00460D7F" w:rsidP="00871979">
            <w:r>
              <w:t>24</w:t>
            </w:r>
          </w:p>
        </w:tc>
        <w:tc>
          <w:tcPr>
            <w:tcW w:w="1257" w:type="dxa"/>
          </w:tcPr>
          <w:p w14:paraId="3FCFE313" w14:textId="77777777" w:rsidR="00460D7F" w:rsidRDefault="00460D7F" w:rsidP="00871979">
            <w:r>
              <w:t>3</w:t>
            </w:r>
          </w:p>
        </w:tc>
        <w:tc>
          <w:tcPr>
            <w:tcW w:w="1334" w:type="dxa"/>
          </w:tcPr>
          <w:p w14:paraId="25471DC1" w14:textId="77777777" w:rsidR="00460D7F" w:rsidRDefault="00460D7F" w:rsidP="00871979">
            <w:r>
              <w:t>G0G0G1</w:t>
            </w:r>
          </w:p>
        </w:tc>
      </w:tr>
      <w:tr w:rsidR="00460D7F" w14:paraId="128F976F" w14:textId="77777777" w:rsidTr="00871979">
        <w:tc>
          <w:tcPr>
            <w:tcW w:w="1262" w:type="dxa"/>
          </w:tcPr>
          <w:p w14:paraId="13456A8D" w14:textId="77777777" w:rsidR="00460D7F" w:rsidRDefault="00460D7F" w:rsidP="00871979">
            <w:r>
              <w:t>NA 19702</w:t>
            </w:r>
          </w:p>
        </w:tc>
        <w:tc>
          <w:tcPr>
            <w:tcW w:w="1258" w:type="dxa"/>
          </w:tcPr>
          <w:p w14:paraId="69155BDE" w14:textId="77777777" w:rsidR="00460D7F" w:rsidRDefault="00460D7F" w:rsidP="00871979">
            <w:r>
              <w:t>12</w:t>
            </w:r>
          </w:p>
        </w:tc>
        <w:tc>
          <w:tcPr>
            <w:tcW w:w="1258" w:type="dxa"/>
          </w:tcPr>
          <w:p w14:paraId="737239C6" w14:textId="77777777" w:rsidR="00460D7F" w:rsidRDefault="00460D7F" w:rsidP="00871979">
            <w:r>
              <w:t>11</w:t>
            </w:r>
          </w:p>
        </w:tc>
        <w:tc>
          <w:tcPr>
            <w:tcW w:w="1258" w:type="dxa"/>
          </w:tcPr>
          <w:p w14:paraId="001F50E0" w14:textId="77777777" w:rsidR="00460D7F" w:rsidRDefault="00460D7F" w:rsidP="00871979">
            <w:r>
              <w:t>23</w:t>
            </w:r>
          </w:p>
        </w:tc>
        <w:tc>
          <w:tcPr>
            <w:tcW w:w="1257" w:type="dxa"/>
          </w:tcPr>
          <w:p w14:paraId="4C6E633D" w14:textId="77777777" w:rsidR="00460D7F" w:rsidRDefault="00460D7F" w:rsidP="00871979">
            <w:r>
              <w:t>2</w:t>
            </w:r>
          </w:p>
        </w:tc>
        <w:tc>
          <w:tcPr>
            <w:tcW w:w="1334" w:type="dxa"/>
          </w:tcPr>
          <w:p w14:paraId="41E1E80A" w14:textId="77777777" w:rsidR="00460D7F" w:rsidRDefault="00460D7F" w:rsidP="00871979">
            <w:r>
              <w:t>G0G1</w:t>
            </w:r>
          </w:p>
        </w:tc>
      </w:tr>
      <w:tr w:rsidR="00460D7F" w14:paraId="741EA986" w14:textId="77777777" w:rsidTr="00871979">
        <w:tc>
          <w:tcPr>
            <w:tcW w:w="1262" w:type="dxa"/>
          </w:tcPr>
          <w:p w14:paraId="29B141F6" w14:textId="77777777" w:rsidR="00460D7F" w:rsidRDefault="00460D7F" w:rsidP="00871979">
            <w:r>
              <w:t>NA 19372</w:t>
            </w:r>
          </w:p>
        </w:tc>
        <w:tc>
          <w:tcPr>
            <w:tcW w:w="1258" w:type="dxa"/>
          </w:tcPr>
          <w:p w14:paraId="103C3C88" w14:textId="77777777" w:rsidR="00460D7F" w:rsidRDefault="00460D7F" w:rsidP="00871979">
            <w:r>
              <w:t>19</w:t>
            </w:r>
          </w:p>
        </w:tc>
        <w:tc>
          <w:tcPr>
            <w:tcW w:w="1258" w:type="dxa"/>
          </w:tcPr>
          <w:p w14:paraId="71EAEFCA" w14:textId="77777777" w:rsidR="00460D7F" w:rsidRDefault="00460D7F" w:rsidP="00871979">
            <w:r>
              <w:t>4</w:t>
            </w:r>
          </w:p>
        </w:tc>
        <w:tc>
          <w:tcPr>
            <w:tcW w:w="1258" w:type="dxa"/>
          </w:tcPr>
          <w:p w14:paraId="5CFE1609" w14:textId="77777777" w:rsidR="00460D7F" w:rsidRDefault="00460D7F" w:rsidP="00871979">
            <w:r>
              <w:t>23</w:t>
            </w:r>
          </w:p>
        </w:tc>
        <w:tc>
          <w:tcPr>
            <w:tcW w:w="1257" w:type="dxa"/>
          </w:tcPr>
          <w:p w14:paraId="1AA048A3" w14:textId="77777777" w:rsidR="00460D7F" w:rsidRDefault="00460D7F" w:rsidP="00871979">
            <w:r>
              <w:t>4</w:t>
            </w:r>
          </w:p>
        </w:tc>
        <w:tc>
          <w:tcPr>
            <w:tcW w:w="1334" w:type="dxa"/>
          </w:tcPr>
          <w:p w14:paraId="120F683D" w14:textId="77777777" w:rsidR="00460D7F" w:rsidRDefault="00460D7F" w:rsidP="00871979">
            <w:r>
              <w:t>G0G0G0G1</w:t>
            </w:r>
          </w:p>
        </w:tc>
      </w:tr>
    </w:tbl>
    <w:p w14:paraId="15BD79B4" w14:textId="77777777" w:rsidR="00871979" w:rsidRDefault="00871979" w:rsidP="00460D7F">
      <w:pPr>
        <w:ind w:left="-180"/>
        <w:rPr>
          <w:i/>
        </w:rPr>
      </w:pPr>
    </w:p>
    <w:p w14:paraId="6C0F08B3" w14:textId="2FF5C8E2" w:rsidR="00460D7F" w:rsidRPr="00460D7F" w:rsidRDefault="00460D7F" w:rsidP="00460D7F">
      <w:pPr>
        <w:ind w:left="-180"/>
        <w:rPr>
          <w:i/>
        </w:rPr>
      </w:pPr>
      <w:r w:rsidRPr="00460D7F">
        <w:rPr>
          <w:i/>
        </w:rPr>
        <w:t xml:space="preserve">APOL1 genomic DNA amplification and fragment </w:t>
      </w:r>
      <w:proofErr w:type="spellStart"/>
      <w:r w:rsidRPr="00460D7F">
        <w:rPr>
          <w:i/>
        </w:rPr>
        <w:t>subcloning</w:t>
      </w:r>
      <w:proofErr w:type="spellEnd"/>
    </w:p>
    <w:p w14:paraId="17CD9B3D" w14:textId="77777777" w:rsidR="00460D7F" w:rsidRDefault="00460D7F" w:rsidP="00FD380C"/>
    <w:p w14:paraId="45C92F54" w14:textId="77777777" w:rsidR="00460D7F" w:rsidRDefault="00460D7F" w:rsidP="00FD380C"/>
    <w:p w14:paraId="52297DE2" w14:textId="77777777" w:rsidR="00460D7F" w:rsidRDefault="00460D7F" w:rsidP="00FD380C"/>
    <w:p w14:paraId="1CCF352C" w14:textId="77777777" w:rsidR="00460D7F" w:rsidRDefault="00460D7F" w:rsidP="00FD380C"/>
    <w:p w14:paraId="5437AC4E" w14:textId="77777777" w:rsidR="00460D7F" w:rsidRDefault="00460D7F" w:rsidP="00FD380C"/>
    <w:p w14:paraId="76DA0593" w14:textId="77777777" w:rsidR="00460D7F" w:rsidRDefault="00460D7F" w:rsidP="00FD380C"/>
    <w:p w14:paraId="2514BF0E" w14:textId="77777777" w:rsidR="00460D7F" w:rsidRDefault="00460D7F" w:rsidP="00FD380C"/>
    <w:p w14:paraId="27F2503B" w14:textId="77777777" w:rsidR="00460D7F" w:rsidRDefault="00460D7F" w:rsidP="00FD380C"/>
    <w:p w14:paraId="1C758D45" w14:textId="77777777" w:rsidR="00460D7F" w:rsidRDefault="00460D7F" w:rsidP="00FD380C"/>
    <w:p w14:paraId="3AB6E31C" w14:textId="77777777" w:rsidR="00460D7F" w:rsidRDefault="00460D7F" w:rsidP="00FD380C"/>
    <w:p w14:paraId="25826084" w14:textId="77777777" w:rsidR="00871979" w:rsidRDefault="00871979" w:rsidP="00460D7F">
      <w:pPr>
        <w:ind w:left="-180"/>
        <w:rPr>
          <w:i/>
        </w:rPr>
      </w:pPr>
    </w:p>
    <w:p w14:paraId="1533736E" w14:textId="3B34DE6F" w:rsidR="00460D7F" w:rsidRPr="00460D7F" w:rsidRDefault="00460D7F" w:rsidP="00460D7F">
      <w:pPr>
        <w:ind w:left="-180"/>
        <w:rPr>
          <w:i/>
        </w:rPr>
      </w:pPr>
      <w:r w:rsidRPr="00460D7F">
        <w:rPr>
          <w:i/>
        </w:rPr>
        <w:t xml:space="preserve">APOL1 </w:t>
      </w:r>
      <w:r w:rsidR="006B10EF">
        <w:rPr>
          <w:i/>
        </w:rPr>
        <w:t>RT-PCR from RNA</w:t>
      </w:r>
      <w:r w:rsidRPr="00460D7F">
        <w:rPr>
          <w:i/>
        </w:rPr>
        <w:t xml:space="preserve"> and fragment </w:t>
      </w:r>
      <w:proofErr w:type="spellStart"/>
      <w:r w:rsidRPr="00460D7F">
        <w:rPr>
          <w:i/>
        </w:rPr>
        <w:t>subcloning</w:t>
      </w:r>
      <w:proofErr w:type="spellEnd"/>
    </w:p>
    <w:p w14:paraId="64B941D1" w14:textId="77777777" w:rsidR="00460D7F" w:rsidRDefault="00460D7F" w:rsidP="00FD380C"/>
    <w:p w14:paraId="6E45F0A6" w14:textId="77777777" w:rsidR="00460D7F" w:rsidRDefault="00460D7F" w:rsidP="00FD380C"/>
    <w:p w14:paraId="0C2E06B2" w14:textId="77777777" w:rsidR="00460D7F" w:rsidRDefault="00460D7F" w:rsidP="00FD380C"/>
    <w:p w14:paraId="5CC38DD7" w14:textId="77777777" w:rsidR="00460D7F" w:rsidRDefault="00460D7F" w:rsidP="00FD380C"/>
    <w:p w14:paraId="55254D44" w14:textId="77777777" w:rsidR="00460D7F" w:rsidRDefault="00460D7F" w:rsidP="00FD380C"/>
    <w:p w14:paraId="13121394" w14:textId="77777777" w:rsidR="00460D7F" w:rsidRDefault="00460D7F" w:rsidP="00FD380C"/>
    <w:p w14:paraId="3785E17E" w14:textId="77777777" w:rsidR="00460D7F" w:rsidRDefault="00460D7F" w:rsidP="00FD380C"/>
    <w:p w14:paraId="2628789D" w14:textId="77777777" w:rsidR="00460D7F" w:rsidRDefault="00460D7F" w:rsidP="00FD380C"/>
    <w:p w14:paraId="79A7F0B4" w14:textId="77777777" w:rsidR="00460D7F" w:rsidRDefault="00460D7F" w:rsidP="00FD380C"/>
    <w:p w14:paraId="6382549D" w14:textId="71B3DB4E" w:rsidR="00DF3B78" w:rsidRDefault="00DF3B78" w:rsidP="00DC426D">
      <w:pPr>
        <w:ind w:left="-180"/>
      </w:pPr>
      <w:r>
        <w:t>Supplementary Table</w:t>
      </w:r>
      <w:r w:rsidR="00A160F1">
        <w:t xml:space="preserve"> 2</w:t>
      </w:r>
      <w:r w:rsidR="00BC515D">
        <w:t>, top</w:t>
      </w:r>
      <w:r w:rsidR="00E13B07">
        <w:t xml:space="preserve">: PCR fragment cloning and sequencing. </w:t>
      </w:r>
      <w:r w:rsidR="00DC426D">
        <w:t xml:space="preserve"> The table </w:t>
      </w:r>
      <w:r w:rsidR="00E13B07">
        <w:t xml:space="preserve">shows the number of </w:t>
      </w:r>
      <w:r w:rsidR="00582575">
        <w:t>colonies that were sequenced</w:t>
      </w:r>
      <w:r w:rsidR="0082592D">
        <w:t xml:space="preserve"> and determined to have </w:t>
      </w:r>
      <w:proofErr w:type="spellStart"/>
      <w:r w:rsidR="0082592D">
        <w:t>genotype</w:t>
      </w:r>
      <w:r w:rsidR="00164274">
        <w:t>ss</w:t>
      </w:r>
      <w:proofErr w:type="spellEnd"/>
      <w:r w:rsidR="00582575">
        <w:t xml:space="preserve"> G0 and G1,</w:t>
      </w:r>
      <w:r w:rsidR="00E13B07">
        <w:t xml:space="preserve"> </w:t>
      </w:r>
      <w:r w:rsidR="006843E3">
        <w:t xml:space="preserve">when genomic DNA from the lymphoblast cell lines was used as template to obtain </w:t>
      </w:r>
      <w:r w:rsidR="00164274">
        <w:t xml:space="preserve">and clone </w:t>
      </w:r>
      <w:r w:rsidR="006843E3">
        <w:t xml:space="preserve">the PCR fragment. The genotype was inferred in </w:t>
      </w:r>
      <w:r w:rsidR="00582575">
        <w:t>conjunction</w:t>
      </w:r>
      <w:r w:rsidR="006843E3">
        <w:t xml:space="preserve"> with data from </w:t>
      </w:r>
      <w:proofErr w:type="spellStart"/>
      <w:r w:rsidR="006843E3">
        <w:t>Taqman</w:t>
      </w:r>
      <w:proofErr w:type="spellEnd"/>
      <w:r w:rsidR="006843E3">
        <w:t xml:space="preserve"> copy number assa</w:t>
      </w:r>
      <w:r w:rsidR="00582575">
        <w:t>y.</w:t>
      </w:r>
      <w:r w:rsidR="00BC515D">
        <w:t xml:space="preserve"> </w:t>
      </w:r>
    </w:p>
    <w:p w14:paraId="6627D293" w14:textId="77777777" w:rsidR="00DF3B78" w:rsidRDefault="00DF3B78" w:rsidP="00DC426D">
      <w:pPr>
        <w:ind w:left="-180"/>
      </w:pPr>
    </w:p>
    <w:p w14:paraId="4E5AF0DC" w14:textId="2482CF0E" w:rsidR="0037438A" w:rsidRDefault="00DF3B78" w:rsidP="00DC426D">
      <w:pPr>
        <w:ind w:left="-180"/>
      </w:pPr>
      <w:r>
        <w:t>Supplementary Table</w:t>
      </w:r>
      <w:r w:rsidR="00A160F1">
        <w:t xml:space="preserve"> 2</w:t>
      </w:r>
      <w:r>
        <w:t xml:space="preserve">, </w:t>
      </w:r>
      <w:r w:rsidR="00BC515D">
        <w:t>bottom:</w:t>
      </w:r>
      <w:r w:rsidR="006843E3">
        <w:t xml:space="preserve"> </w:t>
      </w:r>
      <w:r w:rsidR="00BC515D">
        <w:t>D</w:t>
      </w:r>
      <w:r w:rsidR="00582575">
        <w:t xml:space="preserve">ata from </w:t>
      </w:r>
      <w:r w:rsidR="00BC515D">
        <w:t>a similar</w:t>
      </w:r>
      <w:r w:rsidR="00582575">
        <w:t xml:space="preserve"> experiment,</w:t>
      </w:r>
      <w:r w:rsidR="000D2BF1">
        <w:t xml:space="preserve"> using fragment</w:t>
      </w:r>
      <w:r w:rsidR="00FC1287">
        <w:t xml:space="preserve">s amplified and </w:t>
      </w:r>
      <w:proofErr w:type="spellStart"/>
      <w:r w:rsidR="00FC1287">
        <w:t>subcloned</w:t>
      </w:r>
      <w:proofErr w:type="spellEnd"/>
      <w:r w:rsidR="00FC1287">
        <w:t xml:space="preserve"> after </w:t>
      </w:r>
      <w:r w:rsidR="000D2BF1">
        <w:t>RT-PCR</w:t>
      </w:r>
      <w:r w:rsidR="00C420B6">
        <w:t xml:space="preserve"> from RNA</w:t>
      </w:r>
      <w:r w:rsidR="00582575">
        <w:t xml:space="preserve">. </w:t>
      </w:r>
      <w:r w:rsidR="002D406D">
        <w:t>The genotype was inferred based on t</w:t>
      </w:r>
      <w:r w:rsidR="00BC515D">
        <w:t xml:space="preserve">he ratio of G0 to G1 colonies. </w:t>
      </w:r>
    </w:p>
    <w:sectPr w:rsidR="0037438A" w:rsidSect="003F0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8A"/>
    <w:rsid w:val="00075A34"/>
    <w:rsid w:val="000B25A0"/>
    <w:rsid w:val="000D2BF1"/>
    <w:rsid w:val="00164274"/>
    <w:rsid w:val="002D406D"/>
    <w:rsid w:val="003568C4"/>
    <w:rsid w:val="0037438A"/>
    <w:rsid w:val="003F015B"/>
    <w:rsid w:val="003F6AB7"/>
    <w:rsid w:val="00460D7F"/>
    <w:rsid w:val="005212A5"/>
    <w:rsid w:val="00536DC7"/>
    <w:rsid w:val="00582575"/>
    <w:rsid w:val="00623151"/>
    <w:rsid w:val="006843E3"/>
    <w:rsid w:val="00690AE1"/>
    <w:rsid w:val="006B10EF"/>
    <w:rsid w:val="007F5B71"/>
    <w:rsid w:val="0082592D"/>
    <w:rsid w:val="00871979"/>
    <w:rsid w:val="00886202"/>
    <w:rsid w:val="00954B09"/>
    <w:rsid w:val="00993A4C"/>
    <w:rsid w:val="009D6EF6"/>
    <w:rsid w:val="00A160F1"/>
    <w:rsid w:val="00AB7324"/>
    <w:rsid w:val="00B2595E"/>
    <w:rsid w:val="00B576F0"/>
    <w:rsid w:val="00BC515D"/>
    <w:rsid w:val="00C420B6"/>
    <w:rsid w:val="00D373C7"/>
    <w:rsid w:val="00DC426D"/>
    <w:rsid w:val="00DF3B78"/>
    <w:rsid w:val="00E13B07"/>
    <w:rsid w:val="00F05D1F"/>
    <w:rsid w:val="00FC1287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BC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4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B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B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4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B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B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BIDMC</dc:creator>
  <cp:keywords/>
  <dc:description/>
  <cp:lastModifiedBy>Martin Pollak</cp:lastModifiedBy>
  <cp:revision>11</cp:revision>
  <dcterms:created xsi:type="dcterms:W3CDTF">2015-02-25T02:25:00Z</dcterms:created>
  <dcterms:modified xsi:type="dcterms:W3CDTF">2015-02-25T17:02:00Z</dcterms:modified>
</cp:coreProperties>
</file>