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BE" w:rsidRPr="00713CA5" w:rsidRDefault="000E6EBE" w:rsidP="000E6EBE">
      <w:pPr>
        <w:spacing w:line="480" w:lineRule="auto"/>
        <w:ind w:right="-360"/>
        <w:jc w:val="both"/>
        <w:rPr>
          <w:b/>
          <w:color w:val="000000"/>
        </w:rPr>
      </w:pPr>
      <w:r w:rsidRPr="00713CA5">
        <w:rPr>
          <w:b/>
          <w:color w:val="000000"/>
        </w:rPr>
        <w:t>Supplementary Results</w:t>
      </w:r>
    </w:p>
    <w:p w:rsidR="000E6EBE" w:rsidRPr="00713CA5" w:rsidRDefault="000E6EBE" w:rsidP="000E6EBE">
      <w:pPr>
        <w:spacing w:line="480" w:lineRule="auto"/>
        <w:ind w:right="-360"/>
        <w:jc w:val="both"/>
        <w:rPr>
          <w:rFonts w:ascii="Times New Roman" w:hAnsi="Times New Roman"/>
          <w:b/>
          <w:color w:val="000000"/>
        </w:rPr>
      </w:pPr>
      <w:r w:rsidRPr="00713CA5">
        <w:rPr>
          <w:rFonts w:ascii="Times New Roman" w:hAnsi="Times New Roman"/>
          <w:b/>
          <w:color w:val="000000"/>
        </w:rPr>
        <w:t>Tra2</w:t>
      </w:r>
      <w:r>
        <w:rPr>
          <w:rFonts w:ascii="Times New Roman" w:hAnsi="Times New Roman"/>
          <w:b/>
          <w:color w:val="000000"/>
        </w:rPr>
        <w:t>α</w:t>
      </w:r>
      <w:r w:rsidRPr="00713CA5">
        <w:rPr>
          <w:rFonts w:ascii="Times New Roman" w:hAnsi="Times New Roman"/>
          <w:b/>
          <w:color w:val="000000"/>
        </w:rPr>
        <w:t xml:space="preserve"> and Tra2</w:t>
      </w:r>
      <w:r>
        <w:rPr>
          <w:rFonts w:ascii="Times New Roman" w:hAnsi="Times New Roman"/>
          <w:b/>
          <w:color w:val="000000"/>
        </w:rPr>
        <w:t>β</w:t>
      </w:r>
      <w:r w:rsidRPr="00713CA5">
        <w:rPr>
          <w:rFonts w:ascii="Times New Roman" w:hAnsi="Times New Roman"/>
          <w:b/>
          <w:color w:val="000000"/>
        </w:rPr>
        <w:t xml:space="preserve">Mutants Also Differ in the Modulation of dsx RNA Splicing  </w:t>
      </w:r>
    </w:p>
    <w:p w:rsidR="000E6EBE" w:rsidRPr="00713CA5" w:rsidRDefault="000E6EBE" w:rsidP="000E6EBE">
      <w:pPr>
        <w:pStyle w:val="NoSpacing"/>
        <w:spacing w:line="480" w:lineRule="auto"/>
        <w:ind w:firstLine="1080"/>
        <w:jc w:val="both"/>
        <w:rPr>
          <w:rFonts w:ascii="Times New Roman" w:hAnsi="Times New Roman"/>
          <w:color w:val="000000"/>
          <w:sz w:val="24"/>
        </w:rPr>
      </w:pPr>
      <w:r w:rsidRPr="00713CA5">
        <w:rPr>
          <w:rFonts w:ascii="Times New Roman" w:hAnsi="Times New Roman"/>
          <w:color w:val="000000"/>
          <w:sz w:val="24"/>
        </w:rPr>
        <w:t>The marked difference in activity between the variants of Tra2</w:t>
      </w:r>
      <w:r>
        <w:rPr>
          <w:rFonts w:ascii="Times New Roman" w:hAnsi="Times New Roman"/>
          <w:color w:val="000000"/>
          <w:sz w:val="24"/>
        </w:rPr>
        <w:t>α</w:t>
      </w:r>
      <w:r w:rsidRPr="00713CA5">
        <w:rPr>
          <w:rFonts w:ascii="Times New Roman" w:hAnsi="Times New Roman"/>
          <w:color w:val="000000"/>
          <w:sz w:val="24"/>
        </w:rPr>
        <w:t xml:space="preserve"> and Tra2</w:t>
      </w:r>
      <w:r>
        <w:rPr>
          <w:rFonts w:ascii="Times New Roman" w:hAnsi="Times New Roman"/>
          <w:color w:val="000000"/>
          <w:sz w:val="24"/>
        </w:rPr>
        <w:t>β</w:t>
      </w:r>
      <w:r w:rsidRPr="00713CA5">
        <w:rPr>
          <w:rFonts w:ascii="Times New Roman" w:hAnsi="Times New Roman"/>
          <w:color w:val="000000"/>
          <w:sz w:val="24"/>
        </w:rPr>
        <w:t xml:space="preserve">  (WT, ∆N and ∆C) in the context of HIV-1 was unexpected. Consequently, we were interested in examining whether they displayed similar functional differences in modulating the splicing of another target RNA. As a test, we co-transfected Tra2</w:t>
      </w:r>
      <w:r>
        <w:rPr>
          <w:rFonts w:ascii="Times New Roman" w:hAnsi="Times New Roman"/>
          <w:color w:val="000000"/>
          <w:sz w:val="24"/>
        </w:rPr>
        <w:t>α</w:t>
      </w:r>
      <w:r w:rsidRPr="00713CA5">
        <w:rPr>
          <w:rFonts w:ascii="Times New Roman" w:hAnsi="Times New Roman"/>
          <w:color w:val="000000"/>
          <w:sz w:val="24"/>
        </w:rPr>
        <w:t>/Tra2</w:t>
      </w:r>
      <w:r>
        <w:rPr>
          <w:rFonts w:ascii="Times New Roman" w:hAnsi="Times New Roman"/>
          <w:color w:val="000000"/>
          <w:sz w:val="24"/>
        </w:rPr>
        <w:t>β</w:t>
      </w:r>
      <w:r w:rsidRPr="00713CA5">
        <w:rPr>
          <w:rFonts w:ascii="Times New Roman" w:hAnsi="Times New Roman"/>
          <w:color w:val="000000"/>
          <w:sz w:val="24"/>
        </w:rPr>
        <w:t xml:space="preserve"> expression vectors with a construct comprised of the Drosophila </w:t>
      </w:r>
      <w:r w:rsidRPr="00713CA5">
        <w:rPr>
          <w:rFonts w:ascii="Times New Roman" w:hAnsi="Times New Roman"/>
          <w:i/>
          <w:color w:val="000000"/>
          <w:sz w:val="24"/>
        </w:rPr>
        <w:t xml:space="preserve">doublesex </w:t>
      </w:r>
      <w:r w:rsidRPr="00713CA5">
        <w:rPr>
          <w:rFonts w:ascii="Times New Roman" w:hAnsi="Times New Roman"/>
          <w:color w:val="000000"/>
          <w:sz w:val="24"/>
        </w:rPr>
        <w:t>(dsx) gene exons 3 and 4 as well as the intervening intron with (dsx(GAA)</w:t>
      </w:r>
      <w:r w:rsidRPr="00713CA5">
        <w:rPr>
          <w:rFonts w:ascii="Times New Roman" w:hAnsi="Times New Roman"/>
          <w:color w:val="000000"/>
          <w:sz w:val="24"/>
          <w:vertAlign w:val="subscript"/>
        </w:rPr>
        <w:t>6</w:t>
      </w:r>
      <w:r w:rsidRPr="00713CA5">
        <w:rPr>
          <w:rFonts w:ascii="Times New Roman" w:hAnsi="Times New Roman"/>
          <w:color w:val="000000"/>
          <w:sz w:val="24"/>
        </w:rPr>
        <w:t>) or without (dsx∆434) an artificial, purine-rich ESE known to mediate Tra2</w:t>
      </w:r>
      <w:r>
        <w:rPr>
          <w:rFonts w:ascii="Times New Roman" w:hAnsi="Times New Roman"/>
          <w:color w:val="000000"/>
          <w:sz w:val="24"/>
        </w:rPr>
        <w:t>β</w:t>
      </w:r>
      <w:r>
        <w:rPr>
          <w:rFonts w:ascii="Times New Roman" w:hAnsi="Times New Roman"/>
          <w:color w:val="000000"/>
          <w:sz w:val="24"/>
        </w:rPr>
        <w:t xml:space="preserve"> function (Fig. E in File S1</w:t>
      </w:r>
      <w:r w:rsidRPr="00713CA5">
        <w:rPr>
          <w:rFonts w:ascii="Times New Roman" w:hAnsi="Times New Roman"/>
          <w:color w:val="000000"/>
          <w:sz w:val="24"/>
        </w:rPr>
        <w:t>). It was anticipated that overexpression of either Tra2</w:t>
      </w:r>
      <w:r>
        <w:rPr>
          <w:rFonts w:ascii="Times New Roman" w:hAnsi="Times New Roman"/>
          <w:color w:val="000000"/>
          <w:sz w:val="24"/>
        </w:rPr>
        <w:t>α</w:t>
      </w:r>
      <w:r w:rsidRPr="00713CA5">
        <w:rPr>
          <w:rFonts w:ascii="Times New Roman" w:hAnsi="Times New Roman"/>
          <w:color w:val="000000"/>
          <w:sz w:val="24"/>
        </w:rPr>
        <w:t>/Tra2</w:t>
      </w:r>
      <w:r>
        <w:rPr>
          <w:rFonts w:ascii="Times New Roman" w:hAnsi="Times New Roman"/>
          <w:color w:val="000000"/>
          <w:sz w:val="24"/>
        </w:rPr>
        <w:t>β</w:t>
      </w:r>
      <w:r w:rsidRPr="00713CA5">
        <w:rPr>
          <w:rFonts w:ascii="Times New Roman" w:hAnsi="Times New Roman"/>
          <w:color w:val="000000"/>
          <w:sz w:val="24"/>
        </w:rPr>
        <w:t xml:space="preserve"> would enhance dsx RNA splicing in an ESE-dependent manner. However, in contrast to expectations, both human Tra2</w:t>
      </w:r>
      <w:r>
        <w:rPr>
          <w:rFonts w:ascii="Times New Roman" w:hAnsi="Times New Roman"/>
          <w:color w:val="000000"/>
          <w:sz w:val="24"/>
        </w:rPr>
        <w:t>α</w:t>
      </w:r>
      <w:r w:rsidRPr="00713CA5">
        <w:rPr>
          <w:rFonts w:ascii="Times New Roman" w:hAnsi="Times New Roman"/>
          <w:color w:val="000000"/>
          <w:sz w:val="24"/>
        </w:rPr>
        <w:t xml:space="preserve"> and Tra2</w:t>
      </w:r>
      <w:r>
        <w:rPr>
          <w:rFonts w:ascii="Times New Roman" w:hAnsi="Times New Roman"/>
          <w:color w:val="000000"/>
          <w:sz w:val="24"/>
        </w:rPr>
        <w:t>β</w:t>
      </w:r>
      <w:r w:rsidRPr="00713CA5">
        <w:rPr>
          <w:rFonts w:ascii="Times New Roman" w:hAnsi="Times New Roman"/>
          <w:color w:val="000000"/>
          <w:sz w:val="24"/>
        </w:rPr>
        <w:t xml:space="preserve"> induced accumulation of unspliced dsx RNA (Fig. </w:t>
      </w:r>
      <w:r>
        <w:rPr>
          <w:rFonts w:ascii="Times New Roman" w:hAnsi="Times New Roman"/>
          <w:color w:val="000000"/>
          <w:sz w:val="24"/>
        </w:rPr>
        <w:t>E in File S1</w:t>
      </w:r>
      <w:r w:rsidRPr="00713CA5">
        <w:rPr>
          <w:rFonts w:ascii="Times New Roman" w:hAnsi="Times New Roman"/>
          <w:color w:val="000000"/>
          <w:sz w:val="24"/>
        </w:rPr>
        <w:t xml:space="preserve">). A similar response was observed with the dsx∆434 construct, indicating that the effect is independent of the purine-rich ESE (Fig. </w:t>
      </w:r>
      <w:r>
        <w:rPr>
          <w:rFonts w:ascii="Times New Roman" w:hAnsi="Times New Roman"/>
          <w:color w:val="000000"/>
          <w:sz w:val="24"/>
        </w:rPr>
        <w:t>E in File S1</w:t>
      </w:r>
      <w:r w:rsidRPr="00713CA5">
        <w:rPr>
          <w:rFonts w:ascii="Times New Roman" w:hAnsi="Times New Roman"/>
          <w:color w:val="000000"/>
          <w:sz w:val="24"/>
        </w:rPr>
        <w:t>). Overexpression of constructs lacking the N-terminal RS domain (Tra</w:t>
      </w:r>
      <w:r w:rsidRPr="00713CA5">
        <w:rPr>
          <w:rFonts w:ascii="Times New Roman" w:hAnsi="Times New Roman"/>
          <w:color w:val="000000"/>
          <w:sz w:val="24"/>
        </w:rPr>
        <w:t></w:t>
      </w:r>
      <w:r>
        <w:rPr>
          <w:rFonts w:ascii="Times New Roman" w:hAnsi="Times New Roman"/>
          <w:color w:val="000000"/>
          <w:sz w:val="24"/>
        </w:rPr>
        <w:t>α</w:t>
      </w:r>
      <w:r w:rsidRPr="00713CA5">
        <w:rPr>
          <w:rFonts w:ascii="Times New Roman" w:hAnsi="Times New Roman"/>
          <w:color w:val="000000"/>
          <w:sz w:val="24"/>
        </w:rPr>
        <w:t>/</w:t>
      </w:r>
      <w:r>
        <w:rPr>
          <w:rFonts w:ascii="Times New Roman" w:hAnsi="Times New Roman"/>
          <w:color w:val="000000"/>
          <w:sz w:val="24"/>
        </w:rPr>
        <w:t>β∆</w:t>
      </w:r>
      <w:r w:rsidRPr="00713CA5">
        <w:rPr>
          <w:rFonts w:ascii="Times New Roman" w:hAnsi="Times New Roman"/>
          <w:color w:val="000000"/>
          <w:sz w:val="24"/>
        </w:rPr>
        <w:t xml:space="preserve">N) (Fig. </w:t>
      </w:r>
      <w:r>
        <w:rPr>
          <w:rFonts w:ascii="Times New Roman" w:hAnsi="Times New Roman"/>
          <w:color w:val="000000"/>
          <w:sz w:val="24"/>
        </w:rPr>
        <w:t>E in File S1</w:t>
      </w:r>
      <w:bookmarkStart w:id="0" w:name="_GoBack"/>
      <w:bookmarkEnd w:id="0"/>
      <w:r w:rsidRPr="00713CA5">
        <w:rPr>
          <w:rFonts w:ascii="Times New Roman" w:hAnsi="Times New Roman"/>
          <w:color w:val="000000"/>
          <w:sz w:val="24"/>
        </w:rPr>
        <w:t>) enhanced splicing in the context of the dsx∆434 substrate (a 2 fold increase (p&lt;0.02) in the unspliced/spliced dsx RNA ratio)</w:t>
      </w:r>
      <w:r w:rsidRPr="00713CA5">
        <w:rPr>
          <w:rFonts w:ascii="Times New Roman" w:hAnsi="Times New Roman"/>
          <w:color w:val="000000"/>
          <w:sz w:val="24"/>
        </w:rPr>
        <w:t></w:t>
      </w:r>
      <w:r w:rsidRPr="00713CA5">
        <w:rPr>
          <w:rFonts w:ascii="Times New Roman" w:hAnsi="Times New Roman"/>
          <w:color w:val="000000"/>
          <w:sz w:val="24"/>
        </w:rPr>
        <w:t></w:t>
      </w:r>
      <w:r w:rsidRPr="00713CA5">
        <w:rPr>
          <w:rFonts w:ascii="Times New Roman" w:hAnsi="Times New Roman"/>
          <w:color w:val="000000"/>
          <w:sz w:val="24"/>
        </w:rPr>
        <w:t>Subsequent analysis determined that the responses observed upon Tra2</w:t>
      </w:r>
      <w:r>
        <w:rPr>
          <w:rFonts w:ascii="Times New Roman" w:hAnsi="Times New Roman"/>
          <w:color w:val="000000"/>
          <w:sz w:val="24"/>
        </w:rPr>
        <w:t>β</w:t>
      </w:r>
      <w:r w:rsidRPr="00713CA5">
        <w:rPr>
          <w:rFonts w:ascii="Times New Roman" w:hAnsi="Times New Roman"/>
          <w:color w:val="000000"/>
          <w:sz w:val="24"/>
        </w:rPr>
        <w:t xml:space="preserve"> and Tra2</w:t>
      </w:r>
      <w:r>
        <w:rPr>
          <w:rFonts w:ascii="Times New Roman" w:hAnsi="Times New Roman"/>
          <w:color w:val="000000"/>
          <w:sz w:val="24"/>
        </w:rPr>
        <w:t>β</w:t>
      </w:r>
      <w:r w:rsidRPr="00713CA5">
        <w:rPr>
          <w:rFonts w:ascii="Times New Roman" w:hAnsi="Times New Roman"/>
          <w:color w:val="000000"/>
          <w:sz w:val="24"/>
        </w:rPr>
        <w:t>∆N overexpression were proportional to the level of transfected plasmid (data not shown). Enhancement of dsx RNA splicing was not observed upon Tra2</w:t>
      </w:r>
      <w:r>
        <w:rPr>
          <w:rFonts w:ascii="Times New Roman" w:hAnsi="Times New Roman"/>
          <w:color w:val="000000"/>
          <w:sz w:val="24"/>
        </w:rPr>
        <w:t>α</w:t>
      </w:r>
      <w:r w:rsidRPr="00713CA5">
        <w:rPr>
          <w:rFonts w:ascii="Times New Roman" w:hAnsi="Times New Roman"/>
          <w:color w:val="000000"/>
          <w:sz w:val="24"/>
        </w:rPr>
        <w:t>∆N and Tra2</w:t>
      </w:r>
      <w:r>
        <w:rPr>
          <w:rFonts w:ascii="Times New Roman" w:hAnsi="Times New Roman"/>
          <w:color w:val="000000"/>
          <w:sz w:val="24"/>
        </w:rPr>
        <w:t>β</w:t>
      </w:r>
      <w:r w:rsidRPr="00713CA5">
        <w:rPr>
          <w:rFonts w:ascii="Times New Roman" w:hAnsi="Times New Roman"/>
          <w:color w:val="000000"/>
          <w:sz w:val="24"/>
        </w:rPr>
        <w:t>∆N expression in the context of dsx(GAA)</w:t>
      </w:r>
      <w:r w:rsidRPr="00713CA5">
        <w:rPr>
          <w:rFonts w:ascii="Times New Roman" w:hAnsi="Times New Roman"/>
          <w:color w:val="000000"/>
          <w:sz w:val="24"/>
          <w:vertAlign w:val="subscript"/>
        </w:rPr>
        <w:t xml:space="preserve"> 6</w:t>
      </w:r>
      <w:r w:rsidRPr="00713CA5">
        <w:rPr>
          <w:rFonts w:ascii="Times New Roman" w:hAnsi="Times New Roman"/>
          <w:color w:val="000000"/>
          <w:sz w:val="24"/>
        </w:rPr>
        <w:t>, possibly due to the increased efficiency of splicing in this construct. All other Tra</w:t>
      </w:r>
      <w:r w:rsidRPr="00713CA5">
        <w:rPr>
          <w:rFonts w:ascii="Times New Roman" w:hAnsi="Times New Roman"/>
          <w:color w:val="000000"/>
          <w:sz w:val="24"/>
        </w:rPr>
        <w:t></w:t>
      </w:r>
      <w:r>
        <w:rPr>
          <w:rFonts w:ascii="Times New Roman" w:hAnsi="Times New Roman"/>
          <w:color w:val="000000"/>
          <w:sz w:val="24"/>
        </w:rPr>
        <w:t>α</w:t>
      </w:r>
      <w:r w:rsidRPr="00713CA5">
        <w:rPr>
          <w:rFonts w:ascii="Times New Roman" w:hAnsi="Times New Roman"/>
          <w:color w:val="000000"/>
          <w:sz w:val="24"/>
        </w:rPr>
        <w:t>/</w:t>
      </w:r>
      <w:r>
        <w:rPr>
          <w:rFonts w:ascii="Times New Roman" w:hAnsi="Times New Roman"/>
          <w:color w:val="000000"/>
          <w:sz w:val="24"/>
        </w:rPr>
        <w:t>β</w:t>
      </w:r>
      <w:r w:rsidRPr="00713CA5">
        <w:rPr>
          <w:rFonts w:ascii="Times New Roman" w:hAnsi="Times New Roman"/>
          <w:color w:val="000000"/>
          <w:sz w:val="24"/>
        </w:rPr>
        <w:t xml:space="preserve"> mutants had little or no effect on the extent of dsx RNA splicing, indicating that the C-terminal RS domain and RRM were essential for activity.</w:t>
      </w:r>
    </w:p>
    <w:p w:rsidR="000E6EBE" w:rsidRPr="00713CA5" w:rsidRDefault="000E6EBE" w:rsidP="000E6EBE">
      <w:pPr>
        <w:pStyle w:val="NoSpacing"/>
        <w:spacing w:line="360" w:lineRule="auto"/>
        <w:jc w:val="both"/>
        <w:rPr>
          <w:rFonts w:ascii="Times New Roman" w:hAnsi="Times New Roman"/>
          <w:color w:val="000000"/>
          <w:sz w:val="24"/>
        </w:rPr>
      </w:pPr>
    </w:p>
    <w:p w:rsidR="000E6EBE" w:rsidRPr="00713CA5" w:rsidRDefault="000E6EBE" w:rsidP="000E6EBE">
      <w:pPr>
        <w:spacing w:line="480" w:lineRule="auto"/>
        <w:ind w:right="-360" w:hanging="66"/>
        <w:jc w:val="both"/>
        <w:rPr>
          <w:b/>
          <w:color w:val="000000"/>
        </w:rPr>
      </w:pPr>
      <w:r w:rsidRPr="00713CA5">
        <w:rPr>
          <w:b/>
          <w:color w:val="000000"/>
        </w:rPr>
        <w:t>Both RS domains of Tra2ß are active in stimulating RNA splicing</w:t>
      </w:r>
    </w:p>
    <w:p w:rsidR="000E6EBE" w:rsidRPr="00713CA5" w:rsidRDefault="000E6EBE" w:rsidP="000E6EBE">
      <w:pPr>
        <w:spacing w:line="480" w:lineRule="auto"/>
        <w:ind w:right="-360" w:hanging="66"/>
        <w:jc w:val="both"/>
        <w:rPr>
          <w:b/>
          <w:i/>
          <w:color w:val="000000"/>
        </w:rPr>
      </w:pPr>
      <w:r w:rsidRPr="00713CA5">
        <w:rPr>
          <w:color w:val="000000"/>
        </w:rPr>
        <w:tab/>
      </w:r>
      <w:r w:rsidRPr="00713CA5">
        <w:rPr>
          <w:color w:val="000000"/>
        </w:rPr>
        <w:tab/>
        <w:t>In light of the dramatic differences in activity of Tra2</w:t>
      </w:r>
      <w:r>
        <w:rPr>
          <w:color w:val="000000"/>
        </w:rPr>
        <w:t>β</w:t>
      </w:r>
      <w:r w:rsidRPr="00713CA5">
        <w:rPr>
          <w:color w:val="000000"/>
        </w:rPr>
        <w:t>∆N and Tra2</w:t>
      </w:r>
      <w:r>
        <w:rPr>
          <w:color w:val="000000"/>
        </w:rPr>
        <w:t>β</w:t>
      </w:r>
      <w:r w:rsidRPr="00713CA5">
        <w:rPr>
          <w:color w:val="000000"/>
        </w:rPr>
        <w:t xml:space="preserve">∆C in modulating RNA processing of all the target RNAs tested (HIV-1 and dsx∆434), it was of interest to determine whether the differences might be attributable to differences in the relative activities of the RS domains. To address this </w:t>
      </w:r>
      <w:r w:rsidRPr="00713CA5">
        <w:rPr>
          <w:color w:val="000000"/>
        </w:rPr>
        <w:lastRenderedPageBreak/>
        <w:t>question, either the N-terminal or C-terminal RS domain of Tra2</w:t>
      </w:r>
      <w:r>
        <w:rPr>
          <w:color w:val="000000"/>
        </w:rPr>
        <w:t>β</w:t>
      </w:r>
      <w:r w:rsidRPr="00713CA5">
        <w:rPr>
          <w:color w:val="000000"/>
        </w:rPr>
        <w:t xml:space="preserve"> was fused to the C-terminus of the MS2 coat protein. Constructs were transfected into cells and expression confirmed by western blot (Fig. </w:t>
      </w:r>
      <w:r>
        <w:rPr>
          <w:color w:val="000000"/>
        </w:rPr>
        <w:t>F in File S1</w:t>
      </w:r>
      <w:r w:rsidRPr="00713CA5">
        <w:rPr>
          <w:color w:val="000000"/>
        </w:rPr>
        <w:t xml:space="preserve">) and immunofluorescence localization (Fig. </w:t>
      </w:r>
      <w:r>
        <w:rPr>
          <w:color w:val="000000"/>
        </w:rPr>
        <w:t>F in File S1</w:t>
      </w:r>
      <w:r w:rsidRPr="00713CA5">
        <w:rPr>
          <w:color w:val="000000"/>
        </w:rPr>
        <w:t xml:space="preserve">). As shown, both fusion proteins were expressed and accumulated in the nucleus although the fusion with the C-terminal RS domain was expressed at a slightly lower level. Subsequent functional tests upon cotransfection with constructs expressing dsx RNA with (pAdMLdsx MS2) or without (pAdMLdsx∆434) MS2 binding sites (Fig. </w:t>
      </w:r>
      <w:r>
        <w:rPr>
          <w:color w:val="000000"/>
        </w:rPr>
        <w:t>F in File S1</w:t>
      </w:r>
      <w:r w:rsidRPr="00713CA5">
        <w:rPr>
          <w:color w:val="000000"/>
        </w:rPr>
        <w:t xml:space="preserve">) revealed that enhancement of dsx RNA splicing was dependent upon the presence of MS2 binding sites in the RNA and, in agreement with earlier findings </w:t>
      </w:r>
      <w:r w:rsidRPr="00713CA5">
        <w:rPr>
          <w:color w:val="000000"/>
        </w:rPr>
        <w:fldChar w:fldCharType="begin"/>
      </w:r>
      <w:r w:rsidRPr="00713CA5">
        <w:rPr>
          <w:color w:val="000000"/>
        </w:rPr>
        <w:instrText xml:space="preserve"> ADDIN EN.CITE &lt;EndNote&gt;&lt;Cite&gt;&lt;Author&gt;Wang&lt;/Author&gt;&lt;Year&gt;1998&lt;/Year&gt;&lt;RecNum&gt;736&lt;/RecNum&gt;&lt;DisplayText&gt;[57]&lt;/DisplayText&gt;&lt;record&gt;&lt;rec-number&gt;736&lt;/rec-number&gt;&lt;foreign-keys&gt;&lt;key app="EN" db-id="vpzsxw9x429w28e005vvws9qswatw9ap9pr2" timestamp="1424458711"&gt;736&lt;/key&gt;&lt;/foreign-keys&gt;&lt;ref-type name="Journal Article"&gt;17&lt;/ref-type&gt;&lt;contributors&gt;&lt;authors&gt;&lt;author&gt;Wang,J.&lt;/author&gt;&lt;author&gt;Xiao,S.-H.&lt;/author&gt;&lt;author&gt;Manley,J.&lt;/author&gt;&lt;/authors&gt;&lt;/contributors&gt;&lt;titles&gt;&lt;title&gt;Genetic analysis of the SR protein ASF/SF2: interchangeability of RS domains and negative control of splicing.&lt;/title&gt;&lt;secondary-title&gt;Genes and Development&lt;/secondary-title&gt;&lt;/titles&gt;&lt;periodical&gt;&lt;full-title&gt;Genes and Development&lt;/full-title&gt;&lt;/periodical&gt;&lt;pages&gt;2222-2233&lt;/pages&gt;&lt;volume&gt;12&lt;/volume&gt;&lt;keywords&gt;&lt;keyword&gt;splicing&lt;/keyword&gt;&lt;keyword&gt;SF2&lt;/keyword&gt;&lt;/keywords&gt;&lt;dates&gt;&lt;year&gt;1998&lt;/year&gt;&lt;/dates&gt;&lt;label&gt;741&lt;/label&gt;&lt;urls&gt;&lt;/urls&gt;&lt;/record&gt;&lt;/Cite&gt;&lt;/EndNote&gt;</w:instrText>
      </w:r>
      <w:r w:rsidRPr="00713CA5">
        <w:rPr>
          <w:color w:val="000000"/>
        </w:rPr>
        <w:fldChar w:fldCharType="separate"/>
      </w:r>
      <w:r w:rsidRPr="00713CA5">
        <w:rPr>
          <w:noProof/>
          <w:color w:val="000000"/>
        </w:rPr>
        <w:t>[57]</w:t>
      </w:r>
      <w:r w:rsidRPr="00713CA5">
        <w:rPr>
          <w:color w:val="000000"/>
        </w:rPr>
        <w:fldChar w:fldCharType="end"/>
      </w:r>
      <w:r w:rsidRPr="00713CA5">
        <w:rPr>
          <w:color w:val="000000"/>
        </w:rPr>
        <w:t>, enhancement of splicing was observed upon expression of either RS domain fused to the MS2 coat protein.  Therefore, both RS domains are functional in this context.</w:t>
      </w:r>
    </w:p>
    <w:p w:rsidR="000E6EBE" w:rsidRPr="00713CA5" w:rsidRDefault="000E6EBE" w:rsidP="000E6EBE">
      <w:pPr>
        <w:pStyle w:val="NoSpacing"/>
        <w:spacing w:line="360" w:lineRule="auto"/>
        <w:jc w:val="both"/>
        <w:rPr>
          <w:b/>
          <w:i/>
          <w:color w:val="000000"/>
        </w:rPr>
      </w:pPr>
    </w:p>
    <w:p w:rsidR="000E6EBE" w:rsidRPr="00713CA5" w:rsidRDefault="000E6EBE" w:rsidP="000E6EBE">
      <w:pPr>
        <w:pStyle w:val="NoSpacing"/>
        <w:spacing w:line="360" w:lineRule="auto"/>
        <w:jc w:val="both"/>
        <w:rPr>
          <w:rFonts w:ascii="Times New Roman" w:hAnsi="Times New Roman"/>
          <w:color w:val="000000"/>
          <w:sz w:val="24"/>
        </w:rPr>
      </w:pPr>
      <w:r w:rsidRPr="00713CA5">
        <w:rPr>
          <w:rFonts w:ascii="Times New Roman" w:hAnsi="Times New Roman"/>
          <w:b/>
          <w:color w:val="000000"/>
          <w:sz w:val="24"/>
        </w:rPr>
        <w:t>Supplementary Figures</w:t>
      </w:r>
    </w:p>
    <w:p w:rsidR="000E6EBE" w:rsidRPr="00713CA5" w:rsidRDefault="000E6EBE" w:rsidP="000E6EBE">
      <w:pPr>
        <w:pStyle w:val="NoSpacing"/>
        <w:spacing w:line="360" w:lineRule="auto"/>
        <w:jc w:val="both"/>
        <w:rPr>
          <w:rFonts w:ascii="Times New Roman" w:hAnsi="Times New Roman"/>
          <w:b/>
          <w:color w:val="000000"/>
          <w:sz w:val="24"/>
        </w:rPr>
      </w:pPr>
      <w:r w:rsidRPr="00713CA5">
        <w:rPr>
          <w:rFonts w:ascii="Times New Roman" w:hAnsi="Times New Roman"/>
          <w:b/>
          <w:color w:val="000000"/>
          <w:sz w:val="24"/>
        </w:rPr>
        <w:t xml:space="preserve">Figure </w:t>
      </w:r>
      <w:r>
        <w:rPr>
          <w:rFonts w:ascii="Times New Roman" w:hAnsi="Times New Roman"/>
          <w:b/>
          <w:color w:val="000000"/>
          <w:sz w:val="24"/>
        </w:rPr>
        <w:t>A</w:t>
      </w:r>
      <w:r w:rsidRPr="00713CA5">
        <w:rPr>
          <w:rFonts w:ascii="Times New Roman" w:hAnsi="Times New Roman"/>
          <w:b/>
          <w:color w:val="000000"/>
          <w:sz w:val="24"/>
        </w:rPr>
        <w:t>. Pattern of HIV-1 RNA splicing.</w:t>
      </w:r>
    </w:p>
    <w:p w:rsidR="000E6EBE" w:rsidRPr="00713CA5" w:rsidRDefault="000E6EBE" w:rsidP="000E6EBE">
      <w:pPr>
        <w:pStyle w:val="NoSpacing"/>
        <w:spacing w:line="360" w:lineRule="auto"/>
        <w:jc w:val="both"/>
        <w:rPr>
          <w:rFonts w:ascii="Times New Roman" w:hAnsi="Times New Roman"/>
          <w:color w:val="000000"/>
          <w:sz w:val="24"/>
          <w:lang w:eastAsia="en-CA"/>
        </w:rPr>
      </w:pPr>
      <w:r w:rsidRPr="00713CA5">
        <w:rPr>
          <w:rFonts w:ascii="Times New Roman" w:hAnsi="Times New Roman"/>
          <w:color w:val="000000"/>
          <w:sz w:val="24"/>
          <w:lang w:eastAsia="en-CA"/>
        </w:rPr>
        <w:t>Shown at the top is the organization of the HIV-1 proviral genome indicating the position of the multiple 5’ splice donor sites (SD1 to SD4) and 3’ splice acceptor sites (SA1 to SA7) used in splicing of pre-mRNA. In the middle is an illustration of the alternatively spliced RNAs generated by processing of the HIV-1 genomic RNA. Indicated are the common (open boxes) and alternative exons (closed boxes) used in the generation of the SS (4 kb) and MS (1.8 kb) viral RNAs. At the bottom is a list of the nomenclature used to refer to the exon composition of the individual RNAs generated for both the SS and MS classes of HIV-1 RNAs.</w:t>
      </w:r>
    </w:p>
    <w:p w:rsidR="000E6EBE" w:rsidRPr="00713CA5" w:rsidRDefault="000E6EBE" w:rsidP="000E6EBE">
      <w:pPr>
        <w:pStyle w:val="NoSpacing"/>
        <w:spacing w:line="360" w:lineRule="auto"/>
        <w:jc w:val="both"/>
        <w:rPr>
          <w:rFonts w:ascii="Times New Roman" w:hAnsi="Times New Roman"/>
          <w:color w:val="000000"/>
          <w:sz w:val="24"/>
          <w:lang w:eastAsia="en-CA"/>
        </w:rPr>
      </w:pPr>
    </w:p>
    <w:p w:rsidR="000E6EBE" w:rsidRPr="00713CA5" w:rsidRDefault="000E6EBE" w:rsidP="000E6EBE">
      <w:pPr>
        <w:pStyle w:val="NoSpacing"/>
        <w:spacing w:line="360" w:lineRule="auto"/>
        <w:jc w:val="both"/>
        <w:rPr>
          <w:rFonts w:ascii="Times New Roman" w:hAnsi="Times New Roman"/>
          <w:b/>
          <w:color w:val="000000"/>
          <w:sz w:val="24"/>
          <w:lang w:eastAsia="en-CA"/>
        </w:rPr>
      </w:pPr>
      <w:r w:rsidRPr="00713CA5">
        <w:rPr>
          <w:rFonts w:ascii="Times New Roman" w:hAnsi="Times New Roman"/>
          <w:b/>
          <w:color w:val="000000"/>
          <w:sz w:val="24"/>
          <w:lang w:eastAsia="en-CA"/>
        </w:rPr>
        <w:t xml:space="preserve">Figure </w:t>
      </w:r>
      <w:r>
        <w:rPr>
          <w:rFonts w:ascii="Times New Roman" w:hAnsi="Times New Roman"/>
          <w:b/>
          <w:color w:val="000000"/>
          <w:sz w:val="24"/>
          <w:lang w:eastAsia="en-CA"/>
        </w:rPr>
        <w:t>B</w:t>
      </w:r>
      <w:r w:rsidRPr="00713CA5">
        <w:rPr>
          <w:rFonts w:ascii="Times New Roman" w:hAnsi="Times New Roman"/>
          <w:b/>
          <w:color w:val="000000"/>
          <w:sz w:val="24"/>
          <w:lang w:eastAsia="en-CA"/>
        </w:rPr>
        <w:t>. Effect of Tra2</w:t>
      </w:r>
      <w:r>
        <w:rPr>
          <w:rFonts w:ascii="Times New Roman" w:hAnsi="Times New Roman"/>
          <w:b/>
          <w:color w:val="000000"/>
          <w:sz w:val="24"/>
          <w:lang w:eastAsia="en-CA"/>
        </w:rPr>
        <w:t>α</w:t>
      </w:r>
      <w:r w:rsidRPr="00713CA5">
        <w:rPr>
          <w:rFonts w:ascii="Times New Roman" w:hAnsi="Times New Roman"/>
          <w:b/>
          <w:color w:val="000000"/>
          <w:sz w:val="24"/>
          <w:lang w:eastAsia="en-CA"/>
        </w:rPr>
        <w:t>/</w:t>
      </w:r>
      <w:r>
        <w:rPr>
          <w:rFonts w:ascii="Times New Roman" w:hAnsi="Times New Roman"/>
          <w:b/>
          <w:color w:val="000000"/>
          <w:sz w:val="24"/>
          <w:lang w:eastAsia="en-CA"/>
        </w:rPr>
        <w:t>β</w:t>
      </w:r>
      <w:r w:rsidRPr="00713CA5">
        <w:rPr>
          <w:rFonts w:ascii="Times New Roman" w:hAnsi="Times New Roman"/>
          <w:b/>
          <w:color w:val="000000"/>
          <w:sz w:val="24"/>
          <w:lang w:eastAsia="en-CA"/>
        </w:rPr>
        <w:t xml:space="preserve"> on Splice Site Usage in HIV-1 SS RNA. </w:t>
      </w:r>
    </w:p>
    <w:p w:rsidR="000E6EBE" w:rsidRPr="00713CA5" w:rsidRDefault="000E6EBE" w:rsidP="000E6EBE">
      <w:pPr>
        <w:pStyle w:val="NoSpacing"/>
        <w:spacing w:line="360" w:lineRule="auto"/>
        <w:jc w:val="both"/>
        <w:rPr>
          <w:rFonts w:ascii="Times New Roman" w:hAnsi="Times New Roman"/>
          <w:color w:val="000000"/>
          <w:sz w:val="24"/>
        </w:rPr>
      </w:pPr>
      <w:r w:rsidRPr="00713CA5">
        <w:rPr>
          <w:rFonts w:ascii="Times New Roman" w:hAnsi="Times New Roman"/>
          <w:color w:val="000000"/>
          <w:sz w:val="24"/>
        </w:rPr>
        <w:t>293T cells were transfected with pHxb2 R-/RI- with the indicated myc-expression vectors. RNA was extracted, cDNA generated and amplification of HIV-1 SS RNA performed as outlined in “Materials &amp; Methods”.  Shown in (A) is a representative gel of the results obtained. The products generated are identified on the left. (B) Summary of the relative abundance of splice products  averaged over multiple assays. See Fig. S1 for a description of the products generated.</w:t>
      </w:r>
    </w:p>
    <w:p w:rsidR="000E6EBE" w:rsidRPr="00713CA5" w:rsidRDefault="000E6EBE" w:rsidP="000E6EBE">
      <w:pPr>
        <w:pStyle w:val="NoSpacing"/>
        <w:spacing w:line="360" w:lineRule="auto"/>
        <w:jc w:val="both"/>
        <w:rPr>
          <w:rFonts w:ascii="Times New Roman" w:hAnsi="Times New Roman"/>
          <w:color w:val="000000"/>
          <w:sz w:val="24"/>
        </w:rPr>
      </w:pPr>
    </w:p>
    <w:p w:rsidR="000E6EBE" w:rsidRPr="00713CA5" w:rsidRDefault="000E6EBE" w:rsidP="000E6EBE">
      <w:pPr>
        <w:pStyle w:val="NoSpacing"/>
        <w:spacing w:line="360" w:lineRule="auto"/>
        <w:jc w:val="both"/>
        <w:rPr>
          <w:rFonts w:ascii="Times New Roman" w:hAnsi="Times New Roman"/>
          <w:color w:val="000000"/>
          <w:sz w:val="24"/>
          <w:lang w:eastAsia="en-CA"/>
        </w:rPr>
      </w:pPr>
    </w:p>
    <w:p w:rsidR="000E6EBE" w:rsidRPr="00713CA5" w:rsidRDefault="000E6EBE" w:rsidP="000E6EBE">
      <w:pPr>
        <w:pStyle w:val="NoSpacing"/>
        <w:spacing w:line="360" w:lineRule="auto"/>
        <w:ind w:right="-288"/>
        <w:jc w:val="both"/>
        <w:rPr>
          <w:rFonts w:ascii="Times New Roman" w:hAnsi="Times New Roman"/>
          <w:color w:val="000000"/>
          <w:sz w:val="24"/>
        </w:rPr>
      </w:pPr>
      <w:r w:rsidRPr="00713CA5">
        <w:rPr>
          <w:rFonts w:ascii="Times New Roman" w:hAnsi="Times New Roman"/>
          <w:b/>
          <w:color w:val="000000"/>
          <w:sz w:val="24"/>
          <w:lang w:eastAsia="en-CA"/>
        </w:rPr>
        <w:t xml:space="preserve">Figure </w:t>
      </w:r>
      <w:r>
        <w:rPr>
          <w:rFonts w:ascii="Times New Roman" w:hAnsi="Times New Roman"/>
          <w:b/>
          <w:color w:val="000000"/>
          <w:sz w:val="24"/>
          <w:lang w:eastAsia="en-CA"/>
        </w:rPr>
        <w:t>C</w:t>
      </w:r>
      <w:r w:rsidRPr="00713CA5">
        <w:rPr>
          <w:rFonts w:ascii="Times New Roman" w:hAnsi="Times New Roman"/>
          <w:b/>
          <w:color w:val="000000"/>
          <w:sz w:val="24"/>
          <w:lang w:eastAsia="en-CA"/>
        </w:rPr>
        <w:t>. Mutation of the Tra2</w:t>
      </w:r>
      <w:r>
        <w:rPr>
          <w:rFonts w:ascii="Times New Roman" w:hAnsi="Times New Roman"/>
          <w:b/>
          <w:color w:val="000000"/>
          <w:sz w:val="24"/>
          <w:lang w:eastAsia="en-CA"/>
        </w:rPr>
        <w:t>β</w:t>
      </w:r>
      <w:r w:rsidRPr="00713CA5">
        <w:rPr>
          <w:rFonts w:ascii="Times New Roman" w:hAnsi="Times New Roman"/>
          <w:b/>
          <w:color w:val="000000"/>
          <w:sz w:val="24"/>
          <w:lang w:eastAsia="en-CA"/>
        </w:rPr>
        <w:t xml:space="preserve"> RRM Inhibits its Modulation of HIV-1 MS RNA Splicing.</w:t>
      </w:r>
    </w:p>
    <w:p w:rsidR="000E6EBE" w:rsidRPr="00713CA5" w:rsidRDefault="000E6EBE" w:rsidP="000E6EBE">
      <w:pPr>
        <w:pStyle w:val="NoSpacing"/>
        <w:spacing w:line="360" w:lineRule="auto"/>
        <w:jc w:val="both"/>
        <w:rPr>
          <w:rFonts w:ascii="Times New Roman" w:hAnsi="Times New Roman"/>
          <w:color w:val="000000"/>
          <w:sz w:val="24"/>
        </w:rPr>
      </w:pPr>
      <w:r w:rsidRPr="00713CA5">
        <w:rPr>
          <w:rFonts w:ascii="Times New Roman" w:hAnsi="Times New Roman"/>
          <w:color w:val="000000"/>
          <w:sz w:val="24"/>
        </w:rPr>
        <w:t xml:space="preserve">293T cells were transfected with pHxb2 R-/RI- with the indicated myc-expression vectors. RNA was extracted, cDNA generated and amplification of HIV-1 MS RNA performed as outlined in “Materials &amp; Methods”.  Shown is a representative gel of the results obtained. The products generated are identified on the left. See Fig. S1 for a description of the products generated. </w:t>
      </w:r>
    </w:p>
    <w:p w:rsidR="000E6EBE" w:rsidRPr="00713CA5" w:rsidRDefault="000E6EBE" w:rsidP="000E6EBE">
      <w:pPr>
        <w:spacing w:line="360" w:lineRule="auto"/>
        <w:jc w:val="both"/>
        <w:rPr>
          <w:rFonts w:ascii="Times New Roman" w:hAnsi="Times New Roman"/>
          <w:color w:val="000000"/>
        </w:rPr>
      </w:pPr>
    </w:p>
    <w:p w:rsidR="000E6EBE" w:rsidRPr="00713CA5" w:rsidRDefault="000E6EBE" w:rsidP="000E6EBE">
      <w:pPr>
        <w:spacing w:line="360" w:lineRule="auto"/>
        <w:jc w:val="both"/>
        <w:rPr>
          <w:color w:val="000000"/>
        </w:rPr>
      </w:pPr>
      <w:r w:rsidRPr="00713CA5">
        <w:rPr>
          <w:rFonts w:ascii="Times New Roman" w:hAnsi="Times New Roman"/>
          <w:b/>
          <w:color w:val="000000"/>
        </w:rPr>
        <w:t xml:space="preserve">Figure </w:t>
      </w:r>
      <w:r>
        <w:rPr>
          <w:rFonts w:ascii="Times New Roman" w:hAnsi="Times New Roman"/>
          <w:b/>
          <w:color w:val="000000"/>
        </w:rPr>
        <w:t>D</w:t>
      </w:r>
      <w:r w:rsidRPr="00713CA5">
        <w:rPr>
          <w:rFonts w:ascii="Times New Roman" w:hAnsi="Times New Roman"/>
          <w:b/>
          <w:color w:val="000000"/>
        </w:rPr>
        <w:t xml:space="preserve">. </w:t>
      </w:r>
      <w:r w:rsidRPr="00713CA5">
        <w:rPr>
          <w:b/>
          <w:color w:val="000000"/>
        </w:rPr>
        <w:t>Effect of GFP-SR protein fusions on HIV-1 Gag Expression</w:t>
      </w:r>
    </w:p>
    <w:p w:rsidR="000E6EBE" w:rsidRPr="00713CA5" w:rsidRDefault="000E6EBE" w:rsidP="000E6EBE">
      <w:pPr>
        <w:spacing w:line="360" w:lineRule="auto"/>
        <w:ind w:right="-450"/>
        <w:jc w:val="both"/>
        <w:rPr>
          <w:rFonts w:ascii="Times New Roman" w:hAnsi="Times New Roman"/>
          <w:color w:val="000000"/>
        </w:rPr>
      </w:pPr>
      <w:r w:rsidRPr="00713CA5">
        <w:rPr>
          <w:rFonts w:ascii="Times New Roman" w:hAnsi="Times New Roman"/>
          <w:color w:val="000000"/>
        </w:rPr>
        <w:t xml:space="preserve">293 cells were transfected with pHxb2 R-/RI- with the indicated GFP-tagged expression vectors. 48 h post-transfection, cells were harvested and protein extracts fractionated on SDS-PAGE gels and blots probed with (A) anti-HIV-1 Gag antibody, (B) antibody to GAPDH or (C) GFP signal directly imaged.  </w:t>
      </w:r>
    </w:p>
    <w:p w:rsidR="000E6EBE" w:rsidRPr="00713CA5" w:rsidRDefault="000E6EBE" w:rsidP="000E6EBE">
      <w:pPr>
        <w:spacing w:line="360" w:lineRule="auto"/>
        <w:ind w:right="-450"/>
        <w:jc w:val="both"/>
        <w:rPr>
          <w:rFonts w:ascii="Times New Roman" w:hAnsi="Times New Roman"/>
          <w:color w:val="000000"/>
        </w:rPr>
      </w:pPr>
    </w:p>
    <w:p w:rsidR="000E6EBE" w:rsidRPr="00713CA5" w:rsidRDefault="000E6EBE" w:rsidP="000E6EBE">
      <w:pPr>
        <w:spacing w:line="360" w:lineRule="auto"/>
        <w:jc w:val="both"/>
        <w:rPr>
          <w:b/>
          <w:color w:val="000000"/>
        </w:rPr>
      </w:pPr>
      <w:r w:rsidRPr="00713CA5">
        <w:rPr>
          <w:b/>
          <w:color w:val="000000"/>
        </w:rPr>
        <w:t xml:space="preserve">Figure </w:t>
      </w:r>
      <w:r>
        <w:rPr>
          <w:b/>
          <w:color w:val="000000"/>
        </w:rPr>
        <w:t>E</w:t>
      </w:r>
      <w:r w:rsidRPr="00713CA5">
        <w:rPr>
          <w:color w:val="000000"/>
        </w:rPr>
        <w:t xml:space="preserve">. </w:t>
      </w:r>
      <w:r w:rsidRPr="00713CA5">
        <w:rPr>
          <w:b/>
          <w:color w:val="000000"/>
        </w:rPr>
        <w:t>Effect of</w:t>
      </w:r>
      <w:r w:rsidRPr="00713CA5">
        <w:rPr>
          <w:color w:val="000000"/>
        </w:rPr>
        <w:t xml:space="preserve"> </w:t>
      </w:r>
      <w:r w:rsidRPr="00713CA5">
        <w:rPr>
          <w:b/>
          <w:color w:val="000000"/>
        </w:rPr>
        <w:t>Tra2</w:t>
      </w:r>
      <w:r>
        <w:rPr>
          <w:b/>
          <w:color w:val="000000"/>
        </w:rPr>
        <w:t>α</w:t>
      </w:r>
      <w:r w:rsidRPr="00713CA5">
        <w:rPr>
          <w:b/>
          <w:color w:val="000000"/>
        </w:rPr>
        <w:t xml:space="preserve"> and Tra2</w:t>
      </w:r>
      <w:r>
        <w:rPr>
          <w:b/>
          <w:color w:val="000000"/>
        </w:rPr>
        <w:t>β</w:t>
      </w:r>
      <w:r w:rsidRPr="00713CA5">
        <w:rPr>
          <w:b/>
          <w:color w:val="000000"/>
        </w:rPr>
        <w:t xml:space="preserve"> Overexpression on dsx RNA Splicing </w:t>
      </w:r>
    </w:p>
    <w:p w:rsidR="000E6EBE" w:rsidRPr="00713CA5" w:rsidRDefault="000E6EBE" w:rsidP="000E6EBE">
      <w:pPr>
        <w:numPr>
          <w:ilvl w:val="0"/>
          <w:numId w:val="1"/>
        </w:numPr>
        <w:spacing w:line="360" w:lineRule="auto"/>
        <w:ind w:left="0" w:firstLine="0"/>
        <w:jc w:val="both"/>
        <w:rPr>
          <w:color w:val="000000"/>
        </w:rPr>
      </w:pPr>
      <w:r w:rsidRPr="00713CA5">
        <w:rPr>
          <w:color w:val="000000"/>
        </w:rPr>
        <w:t>Schematic of the pAdML dsx</w:t>
      </w:r>
      <w:r w:rsidRPr="00713CA5">
        <w:rPr>
          <w:rFonts w:ascii="Symbol" w:hAnsi="Symbol"/>
          <w:color w:val="000000"/>
        </w:rPr>
        <w:t></w:t>
      </w:r>
      <w:r w:rsidRPr="00713CA5">
        <w:rPr>
          <w:color w:val="000000"/>
        </w:rPr>
        <w:t>434 and pAdML dsx (GAA)</w:t>
      </w:r>
      <w:r w:rsidRPr="00713CA5">
        <w:rPr>
          <w:color w:val="000000"/>
          <w:vertAlign w:val="subscript"/>
        </w:rPr>
        <w:t>6</w:t>
      </w:r>
      <w:r w:rsidRPr="00713CA5">
        <w:rPr>
          <w:color w:val="000000"/>
        </w:rPr>
        <w:t xml:space="preserve"> expression constructs used to assess the effect of hTra2</w:t>
      </w:r>
      <w:r>
        <w:rPr>
          <w:color w:val="000000"/>
        </w:rPr>
        <w:t>α</w:t>
      </w:r>
      <w:r w:rsidRPr="00713CA5">
        <w:rPr>
          <w:color w:val="000000"/>
        </w:rPr>
        <w:t>/ß or mutants thereof. DsxF and dsxR are the primers used for the RT-PCR analysis and the positions are as indicated. AdML=adenovirus major late promoter.</w:t>
      </w:r>
    </w:p>
    <w:p w:rsidR="000E6EBE" w:rsidRPr="00713CA5" w:rsidRDefault="000E6EBE" w:rsidP="000E6EBE">
      <w:pPr>
        <w:numPr>
          <w:ilvl w:val="0"/>
          <w:numId w:val="1"/>
        </w:numPr>
        <w:spacing w:line="360" w:lineRule="auto"/>
        <w:ind w:left="0" w:firstLine="0"/>
        <w:jc w:val="both"/>
        <w:rPr>
          <w:color w:val="000000"/>
        </w:rPr>
      </w:pPr>
      <w:r w:rsidRPr="00713CA5">
        <w:rPr>
          <w:color w:val="000000"/>
        </w:rPr>
        <w:t>293T cells were transfected with 1 µg of either pAdML dsx</w:t>
      </w:r>
      <w:r w:rsidRPr="00713CA5">
        <w:rPr>
          <w:rFonts w:ascii="Symbol" w:hAnsi="Symbol"/>
          <w:color w:val="000000"/>
        </w:rPr>
        <w:t></w:t>
      </w:r>
      <w:r w:rsidRPr="00713CA5">
        <w:rPr>
          <w:color w:val="000000"/>
        </w:rPr>
        <w:t>434 or pAdML dsx(GAA)</w:t>
      </w:r>
      <w:r w:rsidRPr="00713CA5">
        <w:rPr>
          <w:color w:val="000000"/>
          <w:vertAlign w:val="subscript"/>
        </w:rPr>
        <w:t>6</w:t>
      </w:r>
      <w:r w:rsidRPr="00713CA5">
        <w:rPr>
          <w:color w:val="000000"/>
        </w:rPr>
        <w:t xml:space="preserve"> and 4 µg of vectors expressing hTra2</w:t>
      </w:r>
      <w:r>
        <w:rPr>
          <w:color w:val="000000"/>
        </w:rPr>
        <w:t>α</w:t>
      </w:r>
      <w:r w:rsidRPr="00713CA5">
        <w:rPr>
          <w:color w:val="000000"/>
        </w:rPr>
        <w:t>, hTra2</w:t>
      </w:r>
      <w:r>
        <w:rPr>
          <w:color w:val="000000"/>
        </w:rPr>
        <w:t>β</w:t>
      </w:r>
      <w:r w:rsidRPr="00713CA5">
        <w:rPr>
          <w:color w:val="000000"/>
        </w:rPr>
        <w:t xml:space="preserve"> or mutants thereof. Forty-eight hours post-transfection, cells were harvested, total RNA extracted, and RT-PCR performed. Amplicons were subsequently fractionated on native PAGE gels and amplicons corresponding to unspliced (US) and spliced (S) dsx RNA detected by exposure to phosphor screens. A representative example of the results of such analysis is shown as well as a summary of the results from at least three independent trials. Signals were quantitated from phoshor scans and ratio of unspliced to spliced RNA (US/S) calculated. To facilitate comparison between multiple assays, all values are expressed relative to the US/S ratio seen upon co-transfection with the control plasmid CMVmyc (set to 1)</w:t>
      </w:r>
      <w:r>
        <w:rPr>
          <w:color w:val="000000"/>
        </w:rPr>
        <w:t>.</w:t>
      </w:r>
    </w:p>
    <w:p w:rsidR="000E6EBE" w:rsidRPr="00713CA5" w:rsidRDefault="000E6EBE" w:rsidP="000E6EBE">
      <w:pPr>
        <w:pStyle w:val="Heading2"/>
        <w:spacing w:line="360" w:lineRule="auto"/>
        <w:rPr>
          <w:rFonts w:ascii="Times New Roman" w:hAnsi="Times New Roman"/>
          <w:b w:val="0"/>
          <w:i w:val="0"/>
          <w:color w:val="000000"/>
          <w:sz w:val="24"/>
        </w:rPr>
      </w:pPr>
      <w:r w:rsidRPr="00713CA5">
        <w:rPr>
          <w:rFonts w:ascii="Times New Roman" w:hAnsi="Times New Roman"/>
          <w:i w:val="0"/>
          <w:color w:val="000000"/>
          <w:sz w:val="24"/>
        </w:rPr>
        <w:t xml:space="preserve">Figure </w:t>
      </w:r>
      <w:r>
        <w:rPr>
          <w:rFonts w:ascii="Times New Roman" w:hAnsi="Times New Roman"/>
          <w:i w:val="0"/>
          <w:color w:val="000000"/>
          <w:sz w:val="24"/>
        </w:rPr>
        <w:t>F</w:t>
      </w:r>
      <w:r w:rsidRPr="00713CA5">
        <w:rPr>
          <w:rFonts w:ascii="Times New Roman" w:hAnsi="Times New Roman"/>
          <w:i w:val="0"/>
          <w:color w:val="000000"/>
          <w:sz w:val="24"/>
        </w:rPr>
        <w:t>. Both RS Domains of Tra2</w:t>
      </w:r>
      <w:r>
        <w:rPr>
          <w:rFonts w:ascii="Times New Roman" w:hAnsi="Times New Roman"/>
          <w:i w:val="0"/>
          <w:color w:val="000000"/>
          <w:sz w:val="24"/>
        </w:rPr>
        <w:t>β</w:t>
      </w:r>
      <w:r w:rsidRPr="00713CA5">
        <w:rPr>
          <w:rFonts w:ascii="Times New Roman" w:hAnsi="Times New Roman"/>
          <w:i w:val="0"/>
          <w:color w:val="000000"/>
          <w:sz w:val="24"/>
        </w:rPr>
        <w:t xml:space="preserve"> can enhance RNA splicing</w:t>
      </w:r>
    </w:p>
    <w:p w:rsidR="000E6EBE" w:rsidRPr="00713CA5" w:rsidRDefault="000E6EBE" w:rsidP="000E6EBE">
      <w:pPr>
        <w:pStyle w:val="BodyText2"/>
        <w:spacing w:line="360" w:lineRule="auto"/>
        <w:rPr>
          <w:color w:val="000000"/>
        </w:rPr>
      </w:pPr>
      <w:r w:rsidRPr="00713CA5">
        <w:rPr>
          <w:color w:val="000000"/>
        </w:rPr>
        <w:t>A) Schematic of constructs. To evaluate the independent activities of the two RS domains of Tra2</w:t>
      </w:r>
      <w:r>
        <w:rPr>
          <w:color w:val="000000"/>
        </w:rPr>
        <w:t>β</w:t>
      </w:r>
      <w:r w:rsidRPr="00713CA5">
        <w:rPr>
          <w:color w:val="000000"/>
        </w:rPr>
        <w:t>, the regions encoding the N terminal (</w:t>
      </w:r>
      <w:r>
        <w:rPr>
          <w:color w:val="000000"/>
        </w:rPr>
        <w:t>β</w:t>
      </w:r>
      <w:r w:rsidRPr="00713CA5">
        <w:rPr>
          <w:color w:val="000000"/>
        </w:rPr>
        <w:t>RS-N) and C-terminal (</w:t>
      </w:r>
      <w:r>
        <w:rPr>
          <w:color w:val="000000"/>
        </w:rPr>
        <w:t>β</w:t>
      </w:r>
      <w:r w:rsidRPr="00713CA5">
        <w:rPr>
          <w:color w:val="000000"/>
        </w:rPr>
        <w:t>RS-C) RS domains were cloned 3’ of the NLS HAMS2 gene, encoding HA tagged MS2 RNA binding protein. Also shown is the structure of pAdML dsxMS2, indicating the position of insertion of the multiple MS2 binding sites.</w:t>
      </w:r>
    </w:p>
    <w:p w:rsidR="000E6EBE" w:rsidRPr="00713CA5" w:rsidRDefault="000E6EBE" w:rsidP="000E6EBE">
      <w:pPr>
        <w:spacing w:line="360" w:lineRule="auto"/>
        <w:jc w:val="both"/>
        <w:rPr>
          <w:color w:val="000000"/>
        </w:rPr>
      </w:pPr>
      <w:r w:rsidRPr="00713CA5">
        <w:rPr>
          <w:color w:val="000000"/>
        </w:rPr>
        <w:t>B) Western blot and C) immunofluorescent localization of fusion proteins. 293T cells were transfected with CMV NLS HAMS2, CMV NLS HAMS2 ßRS-N or CMV NLS HAMS2 ßRS-C Western blots were performed to determine the level of protein expression and immunofluorescence to assess impact on protein localization. Fusion proteins were detected by anti-HA antibody.</w:t>
      </w:r>
    </w:p>
    <w:p w:rsidR="000E6EBE" w:rsidRPr="00713CA5" w:rsidRDefault="000E6EBE" w:rsidP="000E6EBE">
      <w:pPr>
        <w:spacing w:line="360" w:lineRule="auto"/>
        <w:jc w:val="both"/>
        <w:rPr>
          <w:color w:val="000000"/>
        </w:rPr>
      </w:pPr>
      <w:r w:rsidRPr="00713CA5">
        <w:rPr>
          <w:color w:val="000000"/>
        </w:rPr>
        <w:t xml:space="preserve">D) Effect of RS Fusion Proteins on dsx RNA Splicing. pAdML dsx∆434 or pAdML dsx MS2 were co-transfected  with CMV NLS HAMS2, CMV NLS HAMS2 </w:t>
      </w:r>
      <w:r>
        <w:rPr>
          <w:color w:val="000000"/>
        </w:rPr>
        <w:t>β</w:t>
      </w:r>
      <w:r w:rsidRPr="00713CA5">
        <w:rPr>
          <w:color w:val="000000"/>
        </w:rPr>
        <w:t xml:space="preserve">RS-N or CMV NLS HAMS2 </w:t>
      </w:r>
      <w:r>
        <w:rPr>
          <w:color w:val="000000"/>
        </w:rPr>
        <w:t>β</w:t>
      </w:r>
      <w:r w:rsidRPr="00713CA5">
        <w:rPr>
          <w:color w:val="000000"/>
        </w:rPr>
        <w:t xml:space="preserve">RS-C. RNA was harvested and extent of RNA splicing assessed by RT-PCR followed by fractionation on native polyacrylamide gels. Shown is a summary of results from multiple experiments (data expressed as unspliced to spliced (US/S) dsx RNA ratio). Asterisks denote samples that were significantly different from NLS HAMS2 (p&lt;0.05). </w:t>
      </w:r>
    </w:p>
    <w:p w:rsidR="000E6EBE" w:rsidRPr="00713CA5" w:rsidRDefault="000E6EBE" w:rsidP="000E6EBE">
      <w:pPr>
        <w:spacing w:line="480" w:lineRule="auto"/>
        <w:jc w:val="both"/>
        <w:rPr>
          <w:color w:val="000000"/>
        </w:rPr>
      </w:pPr>
    </w:p>
    <w:p w:rsidR="000E6EBE" w:rsidRPr="00713CA5" w:rsidRDefault="000E6EBE" w:rsidP="000E6EBE">
      <w:pPr>
        <w:ind w:hanging="720"/>
        <w:rPr>
          <w:color w:val="000000"/>
        </w:rPr>
      </w:pPr>
    </w:p>
    <w:p w:rsidR="000E6EBE" w:rsidRPr="00713CA5" w:rsidRDefault="000E6EBE" w:rsidP="000E6EBE">
      <w:pPr>
        <w:ind w:hanging="720"/>
        <w:rPr>
          <w:color w:val="000000"/>
        </w:rPr>
      </w:pPr>
    </w:p>
    <w:p w:rsidR="00EE674D" w:rsidRDefault="00EE674D"/>
    <w:sectPr w:rsidR="00EE674D">
      <w:footerReference w:type="even" r:id="rId6"/>
      <w:footerReference w:type="default" r:id="rId7"/>
      <w:pgSz w:w="12240" w:h="15840"/>
      <w:pgMar w:top="1134" w:right="1134" w:bottom="1134" w:left="1134"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8A" w:rsidRDefault="000E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08A" w:rsidRDefault="000E6E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8A" w:rsidRDefault="000E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508A" w:rsidRDefault="000E6EB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D554A"/>
    <w:multiLevelType w:val="hybridMultilevel"/>
    <w:tmpl w:val="75BC3874"/>
    <w:lvl w:ilvl="0" w:tplc="FFFFFFFF">
      <w:start w:val="1"/>
      <w:numFmt w:val="upperLetter"/>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BE"/>
    <w:rsid w:val="000E6EBE"/>
    <w:rsid w:val="00C928D0"/>
    <w:rsid w:val="00EE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F43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BE"/>
    <w:rPr>
      <w:rFonts w:ascii="Times" w:eastAsia="Times" w:hAnsi="Times" w:cs="Times New Roman"/>
      <w:szCs w:val="20"/>
    </w:rPr>
  </w:style>
  <w:style w:type="paragraph" w:styleId="Heading2">
    <w:name w:val="heading 2"/>
    <w:basedOn w:val="Normal"/>
    <w:next w:val="Normal"/>
    <w:link w:val="Heading2Char"/>
    <w:qFormat/>
    <w:rsid w:val="000E6EBE"/>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EBE"/>
    <w:rPr>
      <w:rFonts w:ascii="Calibri" w:eastAsia="Times New Roman" w:hAnsi="Calibri" w:cs="Times New Roman"/>
      <w:b/>
      <w:bCs/>
      <w:i/>
      <w:iCs/>
      <w:sz w:val="28"/>
      <w:szCs w:val="28"/>
    </w:rPr>
  </w:style>
  <w:style w:type="paragraph" w:styleId="NoSpacing">
    <w:name w:val="No Spacing"/>
    <w:qFormat/>
    <w:rsid w:val="000E6EBE"/>
    <w:rPr>
      <w:rFonts w:ascii="Calibri" w:eastAsia="Calibri" w:hAnsi="Calibri" w:cs="Times New Roman"/>
      <w:sz w:val="22"/>
      <w:szCs w:val="20"/>
      <w:lang w:val="en-CA"/>
    </w:rPr>
  </w:style>
  <w:style w:type="paragraph" w:styleId="BodyText2">
    <w:name w:val="Body Text 2"/>
    <w:basedOn w:val="Normal"/>
    <w:link w:val="BodyText2Char"/>
    <w:rsid w:val="000E6EBE"/>
    <w:pPr>
      <w:spacing w:line="480" w:lineRule="auto"/>
      <w:jc w:val="both"/>
    </w:pPr>
    <w:rPr>
      <w:rFonts w:ascii="Times New Roman" w:eastAsia="Times New Roman" w:hAnsi="Times New Roman"/>
    </w:rPr>
  </w:style>
  <w:style w:type="character" w:customStyle="1" w:styleId="BodyText2Char">
    <w:name w:val="Body Text 2 Char"/>
    <w:basedOn w:val="DefaultParagraphFont"/>
    <w:link w:val="BodyText2"/>
    <w:rsid w:val="000E6EBE"/>
    <w:rPr>
      <w:rFonts w:ascii="Times New Roman" w:eastAsia="Times New Roman" w:hAnsi="Times New Roman" w:cs="Times New Roman"/>
      <w:szCs w:val="20"/>
    </w:rPr>
  </w:style>
  <w:style w:type="paragraph" w:styleId="Footer">
    <w:name w:val="footer"/>
    <w:basedOn w:val="Normal"/>
    <w:link w:val="FooterChar"/>
    <w:unhideWhenUsed/>
    <w:rsid w:val="000E6EBE"/>
    <w:pPr>
      <w:tabs>
        <w:tab w:val="center" w:pos="4320"/>
        <w:tab w:val="right" w:pos="8640"/>
      </w:tabs>
    </w:pPr>
  </w:style>
  <w:style w:type="character" w:customStyle="1" w:styleId="FooterChar">
    <w:name w:val="Footer Char"/>
    <w:basedOn w:val="DefaultParagraphFont"/>
    <w:link w:val="Footer"/>
    <w:rsid w:val="000E6EBE"/>
    <w:rPr>
      <w:rFonts w:ascii="Times" w:eastAsia="Times" w:hAnsi="Times" w:cs="Times New Roman"/>
      <w:szCs w:val="20"/>
    </w:rPr>
  </w:style>
  <w:style w:type="character" w:styleId="PageNumber">
    <w:name w:val="page number"/>
    <w:basedOn w:val="DefaultParagraphFont"/>
    <w:semiHidden/>
    <w:unhideWhenUsed/>
    <w:rsid w:val="000E6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BE"/>
    <w:rPr>
      <w:rFonts w:ascii="Times" w:eastAsia="Times" w:hAnsi="Times" w:cs="Times New Roman"/>
      <w:szCs w:val="20"/>
    </w:rPr>
  </w:style>
  <w:style w:type="paragraph" w:styleId="Heading2">
    <w:name w:val="heading 2"/>
    <w:basedOn w:val="Normal"/>
    <w:next w:val="Normal"/>
    <w:link w:val="Heading2Char"/>
    <w:qFormat/>
    <w:rsid w:val="000E6EBE"/>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EBE"/>
    <w:rPr>
      <w:rFonts w:ascii="Calibri" w:eastAsia="Times New Roman" w:hAnsi="Calibri" w:cs="Times New Roman"/>
      <w:b/>
      <w:bCs/>
      <w:i/>
      <w:iCs/>
      <w:sz w:val="28"/>
      <w:szCs w:val="28"/>
    </w:rPr>
  </w:style>
  <w:style w:type="paragraph" w:styleId="NoSpacing">
    <w:name w:val="No Spacing"/>
    <w:qFormat/>
    <w:rsid w:val="000E6EBE"/>
    <w:rPr>
      <w:rFonts w:ascii="Calibri" w:eastAsia="Calibri" w:hAnsi="Calibri" w:cs="Times New Roman"/>
      <w:sz w:val="22"/>
      <w:szCs w:val="20"/>
      <w:lang w:val="en-CA"/>
    </w:rPr>
  </w:style>
  <w:style w:type="paragraph" w:styleId="BodyText2">
    <w:name w:val="Body Text 2"/>
    <w:basedOn w:val="Normal"/>
    <w:link w:val="BodyText2Char"/>
    <w:rsid w:val="000E6EBE"/>
    <w:pPr>
      <w:spacing w:line="480" w:lineRule="auto"/>
      <w:jc w:val="both"/>
    </w:pPr>
    <w:rPr>
      <w:rFonts w:ascii="Times New Roman" w:eastAsia="Times New Roman" w:hAnsi="Times New Roman"/>
    </w:rPr>
  </w:style>
  <w:style w:type="character" w:customStyle="1" w:styleId="BodyText2Char">
    <w:name w:val="Body Text 2 Char"/>
    <w:basedOn w:val="DefaultParagraphFont"/>
    <w:link w:val="BodyText2"/>
    <w:rsid w:val="000E6EBE"/>
    <w:rPr>
      <w:rFonts w:ascii="Times New Roman" w:eastAsia="Times New Roman" w:hAnsi="Times New Roman" w:cs="Times New Roman"/>
      <w:szCs w:val="20"/>
    </w:rPr>
  </w:style>
  <w:style w:type="paragraph" w:styleId="Footer">
    <w:name w:val="footer"/>
    <w:basedOn w:val="Normal"/>
    <w:link w:val="FooterChar"/>
    <w:unhideWhenUsed/>
    <w:rsid w:val="000E6EBE"/>
    <w:pPr>
      <w:tabs>
        <w:tab w:val="center" w:pos="4320"/>
        <w:tab w:val="right" w:pos="8640"/>
      </w:tabs>
    </w:pPr>
  </w:style>
  <w:style w:type="character" w:customStyle="1" w:styleId="FooterChar">
    <w:name w:val="Footer Char"/>
    <w:basedOn w:val="DefaultParagraphFont"/>
    <w:link w:val="Footer"/>
    <w:rsid w:val="000E6EBE"/>
    <w:rPr>
      <w:rFonts w:ascii="Times" w:eastAsia="Times" w:hAnsi="Times" w:cs="Times New Roman"/>
      <w:szCs w:val="20"/>
    </w:rPr>
  </w:style>
  <w:style w:type="character" w:styleId="PageNumber">
    <w:name w:val="page number"/>
    <w:basedOn w:val="DefaultParagraphFont"/>
    <w:semiHidden/>
    <w:unhideWhenUsed/>
    <w:rsid w:val="000E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7278</Characters>
  <Application>Microsoft Macintosh Word</Application>
  <DocSecurity>0</DocSecurity>
  <Lines>60</Lines>
  <Paragraphs>17</Paragraphs>
  <ScaleCrop>false</ScaleCrop>
  <Company>University of Toronto</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Cochrane</dc:creator>
  <cp:keywords/>
  <dc:description/>
  <cp:lastModifiedBy>Alan Cochrane</cp:lastModifiedBy>
  <cp:revision>1</cp:revision>
  <dcterms:created xsi:type="dcterms:W3CDTF">2015-04-08T21:37:00Z</dcterms:created>
  <dcterms:modified xsi:type="dcterms:W3CDTF">2015-04-08T21:40:00Z</dcterms:modified>
</cp:coreProperties>
</file>