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2" w:rightFromText="142" w:vertAnchor="page" w:horzAnchor="page" w:tblpX="1135" w:tblpY="1039"/>
        <w:tblOverlap w:val="never"/>
        <w:tblW w:w="12332" w:type="dxa"/>
        <w:tblLook w:val="04A0"/>
      </w:tblPr>
      <w:tblGrid>
        <w:gridCol w:w="3494"/>
        <w:gridCol w:w="890"/>
        <w:gridCol w:w="2490"/>
        <w:gridCol w:w="1039"/>
        <w:gridCol w:w="890"/>
        <w:gridCol w:w="2490"/>
        <w:gridCol w:w="1039"/>
      </w:tblGrid>
      <w:tr w:rsidR="00E0540D" w:rsidRPr="00CA52D6" w:rsidTr="0007365B">
        <w:trPr>
          <w:trHeight w:val="283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40D" w:rsidRDefault="00CA52D6" w:rsidP="008C524F">
            <w:pPr>
              <w:rPr>
                <w:b/>
                <w:szCs w:val="16"/>
                <w:lang w:val="en-US"/>
              </w:rPr>
            </w:pPr>
            <w:r>
              <w:rPr>
                <w:b/>
                <w:lang w:val="en-US"/>
              </w:rPr>
              <w:t xml:space="preserve">Supplemental Data Table </w:t>
            </w:r>
            <w:r w:rsidR="00E0540D">
              <w:rPr>
                <w:b/>
                <w:szCs w:val="16"/>
                <w:lang w:val="en-US"/>
              </w:rPr>
              <w:t>4</w:t>
            </w:r>
            <w:r w:rsidR="00E0540D" w:rsidRPr="001C2364">
              <w:rPr>
                <w:b/>
                <w:szCs w:val="16"/>
                <w:lang w:val="en-US"/>
              </w:rPr>
              <w:t>. Univariable linear regression for erythropoietin adjusted for age</w:t>
            </w:r>
          </w:p>
        </w:tc>
      </w:tr>
      <w:tr w:rsidR="004A1CFB" w:rsidRPr="00CA52D6" w:rsidTr="004A1CFB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>Men (n= 3</w:t>
            </w:r>
            <w:r>
              <w:rPr>
                <w:b/>
                <w:sz w:val="16"/>
                <w:lang w:val="en-US"/>
              </w:rPr>
              <w:t>,</w:t>
            </w:r>
            <w:r w:rsidRPr="001C2364">
              <w:rPr>
                <w:b/>
                <w:sz w:val="16"/>
                <w:lang w:val="en-US"/>
              </w:rPr>
              <w:t>3</w:t>
            </w:r>
            <w:r>
              <w:rPr>
                <w:b/>
                <w:sz w:val="16"/>
                <w:lang w:val="en-US"/>
              </w:rPr>
              <w:t>95</w:t>
            </w:r>
            <w:r w:rsidRPr="001C2364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>Women (n= 3</w:t>
            </w:r>
            <w:r>
              <w:rPr>
                <w:b/>
                <w:sz w:val="16"/>
                <w:lang w:val="en-US"/>
              </w:rPr>
              <w:t>,</w:t>
            </w:r>
            <w:r w:rsidRPr="001C2364">
              <w:rPr>
                <w:b/>
                <w:sz w:val="16"/>
                <w:lang w:val="en-US"/>
              </w:rPr>
              <w:t>3</w:t>
            </w:r>
            <w:r>
              <w:rPr>
                <w:b/>
                <w:sz w:val="16"/>
                <w:lang w:val="en-US"/>
              </w:rPr>
              <w:t>82</w:t>
            </w:r>
            <w:r w:rsidRPr="001C2364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4A1CFB" w:rsidRPr="001C2364" w:rsidRDefault="004A1CFB" w:rsidP="008C524F">
            <w:pPr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β*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β*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Waist circumference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</w:t>
            </w:r>
            <w:r>
              <w:rPr>
                <w:sz w:val="16"/>
                <w:szCs w:val="16"/>
                <w:lang w:val="en-US"/>
              </w:rPr>
              <w:t>04</w:t>
            </w:r>
            <w:r w:rsidRPr="001C2364">
              <w:rPr>
                <w:sz w:val="16"/>
                <w:szCs w:val="16"/>
                <w:lang w:val="en-US"/>
              </w:rPr>
              <w:t xml:space="preserve"> to 0.0</w:t>
            </w: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</w:t>
            </w:r>
            <w:r>
              <w:rPr>
                <w:sz w:val="16"/>
                <w:szCs w:val="16"/>
                <w:lang w:val="en-US"/>
              </w:rPr>
              <w:t>06</w:t>
            </w:r>
            <w:r w:rsidRPr="001C2364">
              <w:rPr>
                <w:sz w:val="16"/>
                <w:szCs w:val="16"/>
                <w:lang w:val="en-US"/>
              </w:rPr>
              <w:t xml:space="preserve"> to 0.0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Premenopausal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0.052 to 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</w:t>
            </w:r>
            <w:bookmarkStart w:id="0" w:name="_GoBack"/>
            <w:bookmarkEnd w:id="0"/>
            <w:r w:rsidRPr="001C2364">
              <w:rPr>
                <w:sz w:val="16"/>
                <w:szCs w:val="16"/>
                <w:lang w:val="en-US"/>
              </w:rPr>
              <w:t>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lang w:val="en-US"/>
              </w:rPr>
              <w:t>UAE ( mg/24h)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0.007 to 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0.020 to 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Hs-C-reactive protein (mg/L)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-0.001 to 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0.011 to 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469EA" w:rsidRDefault="004A1CFB" w:rsidP="008C524F">
            <w:pPr>
              <w:rPr>
                <w:sz w:val="16"/>
              </w:rPr>
            </w:pPr>
            <w:r w:rsidRPr="001469EA">
              <w:rPr>
                <w:sz w:val="16"/>
              </w:rPr>
              <w:t>eGFR (per 10mL/min/1.73m</w:t>
            </w:r>
            <w:r w:rsidRPr="001469EA">
              <w:rPr>
                <w:rFonts w:cs="Arial"/>
                <w:sz w:val="16"/>
              </w:rPr>
              <w:t>²</w:t>
            </w:r>
            <w:r w:rsidRPr="001469EA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-0.036 to 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-0.020 to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0.723</w:t>
            </w:r>
          </w:p>
        </w:tc>
      </w:tr>
      <w:tr w:rsidR="004A1CFB" w:rsidRPr="001C2364" w:rsidTr="004A1CFB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Anemia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0.441 to 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0.667 to 0.808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2FF4" w:rsidP="008C524F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="004A1CFB" w:rsidRPr="001C2364">
              <w:rPr>
                <w:sz w:val="16"/>
                <w:szCs w:val="16"/>
                <w:lang w:val="en-US"/>
              </w:rPr>
              <w:t>Hemoglobin (g/</w:t>
            </w:r>
            <w:proofErr w:type="spellStart"/>
            <w:r w:rsidR="004A1CFB" w:rsidRPr="001C2364">
              <w:rPr>
                <w:sz w:val="16"/>
                <w:szCs w:val="16"/>
                <w:lang w:val="en-US"/>
              </w:rPr>
              <w:t>dL</w:t>
            </w:r>
            <w:proofErr w:type="spellEnd"/>
            <w:r w:rsidR="004A1CFB" w:rsidRPr="001C236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 14.5]</w:t>
            </w:r>
            <w:r w:rsidRPr="00A44903">
              <w:rPr>
                <w:rFonts w:cs="Arial"/>
                <w:sz w:val="16"/>
              </w:rPr>
              <w:t>²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0.055 to 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0.079 to 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Diabetes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0.032 to 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0.123 to 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Glucose (</w:t>
            </w:r>
            <w:proofErr w:type="spellStart"/>
            <w:r w:rsidRPr="001C2364">
              <w:rPr>
                <w:sz w:val="16"/>
                <w:szCs w:val="16"/>
                <w:lang w:val="en-US"/>
              </w:rPr>
              <w:t>mmol</w:t>
            </w:r>
            <w:proofErr w:type="spellEnd"/>
            <w:r w:rsidRPr="001C2364">
              <w:rPr>
                <w:sz w:val="16"/>
                <w:szCs w:val="16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0.019 to 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0.038 to 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lang w:val="en-US"/>
              </w:rPr>
              <w:t>Cholesterol (</w:t>
            </w:r>
            <w:proofErr w:type="spellStart"/>
            <w:r w:rsidRPr="001C2364">
              <w:rPr>
                <w:sz w:val="16"/>
                <w:lang w:val="en-US"/>
              </w:rPr>
              <w:t>mmol</w:t>
            </w:r>
            <w:proofErr w:type="spellEnd"/>
            <w:r w:rsidRPr="001C2364">
              <w:rPr>
                <w:sz w:val="16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-0.077 to -0.035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-0.112 to 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tabs>
                <w:tab w:val="clear" w:pos="1701"/>
                <w:tab w:val="right" w:pos="2141"/>
              </w:tabs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Smoking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or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quit</w:t>
            </w:r>
            <w:proofErr w:type="spellEnd"/>
            <w:r>
              <w:rPr>
                <w:rFonts w:cs="Arial"/>
                <w:sz w:val="16"/>
              </w:rPr>
              <w:t xml:space="preserve"> &lt;1 </w:t>
            </w:r>
            <w:proofErr w:type="spellStart"/>
            <w:r>
              <w:rPr>
                <w:rFonts w:cs="Arial"/>
                <w:sz w:val="16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-0.134 to -0.038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-0.185 to -0.075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tabs>
                <w:tab w:val="clear" w:pos="1701"/>
                <w:tab w:val="right" w:pos="2141"/>
              </w:tabs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 xml:space="preserve">Systolic </w:t>
            </w:r>
            <w:r>
              <w:rPr>
                <w:sz w:val="16"/>
                <w:lang w:val="en-US"/>
              </w:rPr>
              <w:t xml:space="preserve"> blood pressure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sz w:val="16"/>
                <w:szCs w:val="16"/>
                <w:lang w:val="en-US"/>
              </w:rPr>
              <w:t>(per 5mmHg)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-0.002 to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0.007 to 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Heart rate (per 5b.p.m.)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-0.010 to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0.978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-0.021 to 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0.226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1CFB" w:rsidRPr="001C2364" w:rsidRDefault="004A1CFB" w:rsidP="008C524F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0.007 to 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0.005 to 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0.056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CFB" w:rsidRPr="001C2364" w:rsidRDefault="004A1CFB" w:rsidP="008C524F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Stroke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-0.032 to 0.398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-0.190 to 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0.536</w:t>
            </w:r>
          </w:p>
        </w:tc>
      </w:tr>
      <w:tr w:rsidR="004A1CFB" w:rsidRPr="001C2364" w:rsidTr="004A1CFB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CFB" w:rsidRPr="001C2364" w:rsidRDefault="004A1CFB" w:rsidP="008C524F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Venous thromboembolism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-0.034 to 0.485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-0.268 to 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1CFB" w:rsidRPr="001C2364" w:rsidRDefault="004A1CFB" w:rsidP="008C524F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0.691</w:t>
            </w:r>
          </w:p>
        </w:tc>
      </w:tr>
      <w:tr w:rsidR="00E0540D" w:rsidRPr="00CA52D6" w:rsidTr="0007365B">
        <w:trPr>
          <w:trHeight w:val="56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0D" w:rsidRPr="001C2364" w:rsidRDefault="00E0540D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* The dependent variable erythropoietin was double log-transformed before included in the model. Therefore, a β of 1 should be interpreted as a doubling for each unit rise of the independent variable.</w:t>
            </w:r>
          </w:p>
          <w:p w:rsidR="00E0540D" w:rsidRDefault="00E0540D" w:rsidP="008C524F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 xml:space="preserve">† Both the dependent and independent variables were double log-transformed before included in the model. Therefore, a </w:t>
            </w:r>
            <w:r w:rsidRPr="001C2364">
              <w:rPr>
                <w:sz w:val="16"/>
                <w:szCs w:val="16"/>
                <w:lang w:val="en-US"/>
              </w:rPr>
              <w:t>β of 1 should be interpreted as a doubling for each doubling of the independent variable.</w:t>
            </w:r>
          </w:p>
          <w:p w:rsidR="00E0540D" w:rsidRPr="001C2364" w:rsidRDefault="00E0540D" w:rsidP="008C524F">
            <w:pPr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UAE = Urinary Albumin Excretion, eGFR = estimated Glomerular Filtration Rate.</w:t>
            </w:r>
          </w:p>
        </w:tc>
      </w:tr>
    </w:tbl>
    <w:p w:rsidR="00AA0AEA" w:rsidRPr="001E3431" w:rsidRDefault="00AA0AEA" w:rsidP="007E581F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sectPr w:rsidR="00AA0AEA" w:rsidRPr="001E3431" w:rsidSect="007E58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6CD1"/>
    <w:rsid w:val="000248E9"/>
    <w:rsid w:val="000536B8"/>
    <w:rsid w:val="00057C1D"/>
    <w:rsid w:val="0006555A"/>
    <w:rsid w:val="00066989"/>
    <w:rsid w:val="0007365B"/>
    <w:rsid w:val="000819FF"/>
    <w:rsid w:val="00082B82"/>
    <w:rsid w:val="0008331A"/>
    <w:rsid w:val="000872BB"/>
    <w:rsid w:val="000A1A23"/>
    <w:rsid w:val="000B1392"/>
    <w:rsid w:val="000B7B52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B7B0A"/>
    <w:rsid w:val="001C2364"/>
    <w:rsid w:val="001E3431"/>
    <w:rsid w:val="001E76C6"/>
    <w:rsid w:val="001F2356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D0E52"/>
    <w:rsid w:val="003F6D1C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1CFB"/>
    <w:rsid w:val="004A2FF4"/>
    <w:rsid w:val="004A300B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7EA3"/>
    <w:rsid w:val="00510FFE"/>
    <w:rsid w:val="00514C2E"/>
    <w:rsid w:val="00515290"/>
    <w:rsid w:val="00516549"/>
    <w:rsid w:val="00517C43"/>
    <w:rsid w:val="00523CBC"/>
    <w:rsid w:val="00544538"/>
    <w:rsid w:val="00550582"/>
    <w:rsid w:val="0055224A"/>
    <w:rsid w:val="005606E8"/>
    <w:rsid w:val="0057178E"/>
    <w:rsid w:val="00585A15"/>
    <w:rsid w:val="005D00A6"/>
    <w:rsid w:val="005F4502"/>
    <w:rsid w:val="005F6D05"/>
    <w:rsid w:val="0060538C"/>
    <w:rsid w:val="006167F2"/>
    <w:rsid w:val="006228F7"/>
    <w:rsid w:val="00627123"/>
    <w:rsid w:val="00632C56"/>
    <w:rsid w:val="00635C80"/>
    <w:rsid w:val="00636444"/>
    <w:rsid w:val="006469E2"/>
    <w:rsid w:val="00653204"/>
    <w:rsid w:val="00672AE8"/>
    <w:rsid w:val="00681533"/>
    <w:rsid w:val="006A1146"/>
    <w:rsid w:val="006B13D3"/>
    <w:rsid w:val="006B1979"/>
    <w:rsid w:val="006B1EE0"/>
    <w:rsid w:val="006B3DC6"/>
    <w:rsid w:val="006B5F98"/>
    <w:rsid w:val="006E29EA"/>
    <w:rsid w:val="006E3B4A"/>
    <w:rsid w:val="006E3E0B"/>
    <w:rsid w:val="006E730C"/>
    <w:rsid w:val="006F177C"/>
    <w:rsid w:val="006F2E7C"/>
    <w:rsid w:val="006F6EB8"/>
    <w:rsid w:val="00704726"/>
    <w:rsid w:val="0070583D"/>
    <w:rsid w:val="00706A62"/>
    <w:rsid w:val="007106C3"/>
    <w:rsid w:val="00720400"/>
    <w:rsid w:val="00721E70"/>
    <w:rsid w:val="00727A38"/>
    <w:rsid w:val="007401DE"/>
    <w:rsid w:val="00745697"/>
    <w:rsid w:val="00752877"/>
    <w:rsid w:val="0077754C"/>
    <w:rsid w:val="007804CB"/>
    <w:rsid w:val="00783699"/>
    <w:rsid w:val="007A0C28"/>
    <w:rsid w:val="007A6E6A"/>
    <w:rsid w:val="007B47BB"/>
    <w:rsid w:val="007D152A"/>
    <w:rsid w:val="007D5B9A"/>
    <w:rsid w:val="007E581F"/>
    <w:rsid w:val="007F72F4"/>
    <w:rsid w:val="00827ED1"/>
    <w:rsid w:val="00836078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C524F"/>
    <w:rsid w:val="008D2283"/>
    <w:rsid w:val="008D7A2E"/>
    <w:rsid w:val="008E7124"/>
    <w:rsid w:val="008F1A06"/>
    <w:rsid w:val="00904804"/>
    <w:rsid w:val="00924F04"/>
    <w:rsid w:val="00935BB8"/>
    <w:rsid w:val="009616B3"/>
    <w:rsid w:val="00964FD4"/>
    <w:rsid w:val="009709FD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F6AEE"/>
    <w:rsid w:val="00A062CE"/>
    <w:rsid w:val="00A10EF0"/>
    <w:rsid w:val="00A23783"/>
    <w:rsid w:val="00A27AF0"/>
    <w:rsid w:val="00A3594A"/>
    <w:rsid w:val="00A3764F"/>
    <w:rsid w:val="00A37FD5"/>
    <w:rsid w:val="00A456AA"/>
    <w:rsid w:val="00A60F31"/>
    <w:rsid w:val="00A75A76"/>
    <w:rsid w:val="00A76EC1"/>
    <w:rsid w:val="00A80903"/>
    <w:rsid w:val="00A81C69"/>
    <w:rsid w:val="00A9366D"/>
    <w:rsid w:val="00A96823"/>
    <w:rsid w:val="00AA0AEA"/>
    <w:rsid w:val="00AA2406"/>
    <w:rsid w:val="00AB5EDC"/>
    <w:rsid w:val="00AC0E2F"/>
    <w:rsid w:val="00AD0045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41407"/>
    <w:rsid w:val="00B5290C"/>
    <w:rsid w:val="00B5635C"/>
    <w:rsid w:val="00B71F6D"/>
    <w:rsid w:val="00BA2C70"/>
    <w:rsid w:val="00BB0680"/>
    <w:rsid w:val="00BD3D81"/>
    <w:rsid w:val="00BE6E73"/>
    <w:rsid w:val="00BF1D7B"/>
    <w:rsid w:val="00BF20DD"/>
    <w:rsid w:val="00BF26F7"/>
    <w:rsid w:val="00C11BE1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A52D6"/>
    <w:rsid w:val="00CC0EE8"/>
    <w:rsid w:val="00CC25DF"/>
    <w:rsid w:val="00CC4B3C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0540D"/>
    <w:rsid w:val="00E15DC1"/>
    <w:rsid w:val="00E24902"/>
    <w:rsid w:val="00E27494"/>
    <w:rsid w:val="00E31666"/>
    <w:rsid w:val="00E3345E"/>
    <w:rsid w:val="00E34185"/>
    <w:rsid w:val="00E64FC1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74CBF"/>
    <w:rsid w:val="00F756AD"/>
    <w:rsid w:val="00F75DD8"/>
    <w:rsid w:val="00F83F38"/>
    <w:rsid w:val="00F925DD"/>
    <w:rsid w:val="00F92A64"/>
    <w:rsid w:val="00FA78DB"/>
    <w:rsid w:val="00FB063B"/>
    <w:rsid w:val="00FB6A2B"/>
    <w:rsid w:val="00FC743E"/>
    <w:rsid w:val="00FC7A97"/>
    <w:rsid w:val="00FD7E08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A7772-E70C-4979-88C5-9481B63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11</cp:revision>
  <cp:lastPrinted>2014-06-18T14:38:00Z</cp:lastPrinted>
  <dcterms:created xsi:type="dcterms:W3CDTF">2015-01-13T16:43:00Z</dcterms:created>
  <dcterms:modified xsi:type="dcterms:W3CDTF">2015-03-18T08:21:00Z</dcterms:modified>
</cp:coreProperties>
</file>