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BC0E4" w14:textId="0A8559D7" w:rsidR="006E3E2E" w:rsidRPr="00C969E3" w:rsidRDefault="002F3150" w:rsidP="00C969E3">
      <w:pPr>
        <w:tabs>
          <w:tab w:val="left" w:pos="5295"/>
          <w:tab w:val="left" w:pos="6765"/>
        </w:tabs>
        <w:autoSpaceDE w:val="0"/>
        <w:autoSpaceDN w:val="0"/>
        <w:adjustRightInd w:val="0"/>
        <w:spacing w:line="480" w:lineRule="auto"/>
        <w:rPr>
          <w:rFonts w:asciiTheme="majorHAnsi" w:hAnsiTheme="majorHAnsi" w:cs="Shaker2Lancet-Bold"/>
          <w:b/>
          <w:bCs/>
          <w:color w:val="FF0000"/>
          <w:sz w:val="22"/>
          <w:szCs w:val="22"/>
          <w:u w:val="single"/>
          <w:lang w:eastAsia="en-ZA"/>
        </w:rPr>
      </w:pPr>
      <w:r>
        <w:rPr>
          <w:rFonts w:asciiTheme="majorHAnsi" w:hAnsiTheme="majorHAnsi" w:cs="Shaker2Lancet-Bold"/>
          <w:b/>
          <w:bCs/>
          <w:sz w:val="22"/>
          <w:szCs w:val="22"/>
          <w:u w:val="single"/>
          <w:lang w:eastAsia="en-ZA"/>
        </w:rPr>
        <w:t xml:space="preserve">S1 - </w:t>
      </w:r>
      <w:r w:rsidR="006E3E2E" w:rsidRPr="00C0535F">
        <w:rPr>
          <w:rFonts w:asciiTheme="majorHAnsi" w:hAnsiTheme="majorHAnsi" w:cs="Shaker2Lancet-Bold"/>
          <w:b/>
          <w:bCs/>
          <w:sz w:val="22"/>
          <w:szCs w:val="22"/>
          <w:u w:val="single"/>
          <w:lang w:eastAsia="en-ZA"/>
        </w:rPr>
        <w:t>ONLINE SUPPLEMENT</w:t>
      </w:r>
      <w:r w:rsidR="00C969E3">
        <w:rPr>
          <w:rFonts w:asciiTheme="majorHAnsi" w:hAnsiTheme="majorHAnsi" w:cs="Shaker2Lancet-Bold"/>
          <w:b/>
          <w:bCs/>
          <w:sz w:val="22"/>
          <w:szCs w:val="22"/>
          <w:u w:val="single"/>
          <w:lang w:eastAsia="en-ZA"/>
        </w:rPr>
        <w:t xml:space="preserve">:  </w:t>
      </w:r>
      <w:r w:rsidR="00C969E3" w:rsidRPr="00C969E3">
        <w:rPr>
          <w:rFonts w:asciiTheme="majorHAnsi" w:hAnsiTheme="majorHAnsi" w:cs="Shaker2Lancet-Bold"/>
          <w:b/>
          <w:bCs/>
          <w:color w:val="FF0000"/>
          <w:sz w:val="22"/>
          <w:szCs w:val="22"/>
          <w:u w:val="single"/>
          <w:lang w:eastAsia="en-ZA"/>
        </w:rPr>
        <w:t>Definitions and methods</w:t>
      </w:r>
      <w:r w:rsidR="00C969E3" w:rsidRPr="00C969E3">
        <w:rPr>
          <w:rFonts w:asciiTheme="majorHAnsi" w:hAnsiTheme="majorHAnsi" w:cs="Shaker2Lancet-Bold"/>
          <w:b/>
          <w:bCs/>
          <w:color w:val="FF0000"/>
          <w:sz w:val="22"/>
          <w:szCs w:val="22"/>
          <w:lang w:eastAsia="en-ZA"/>
        </w:rPr>
        <w:tab/>
      </w:r>
      <w:r w:rsidR="00C969E3" w:rsidRPr="00C969E3">
        <w:rPr>
          <w:rFonts w:asciiTheme="majorHAnsi" w:hAnsiTheme="majorHAnsi" w:cs="Shaker2Lancet-Bold"/>
          <w:b/>
          <w:bCs/>
          <w:color w:val="FF0000"/>
          <w:sz w:val="22"/>
          <w:szCs w:val="22"/>
          <w:lang w:eastAsia="en-ZA"/>
        </w:rPr>
        <w:tab/>
      </w:r>
    </w:p>
    <w:p w14:paraId="022FD67C" w14:textId="77777777" w:rsidR="00B513FE" w:rsidRPr="00C0535F" w:rsidRDefault="00B513FE" w:rsidP="00B513FE">
      <w:pPr>
        <w:spacing w:line="480" w:lineRule="auto"/>
        <w:jc w:val="both"/>
        <w:rPr>
          <w:rFonts w:asciiTheme="majorHAnsi" w:hAnsiTheme="majorHAnsi" w:cs="Calibri"/>
          <w:sz w:val="22"/>
          <w:szCs w:val="22"/>
        </w:rPr>
      </w:pPr>
      <w:r w:rsidRPr="00C0535F">
        <w:rPr>
          <w:rFonts w:asciiTheme="majorHAnsi" w:hAnsiTheme="majorHAnsi" w:cs="Calibri"/>
          <w:b/>
          <w:sz w:val="22"/>
          <w:szCs w:val="22"/>
        </w:rPr>
        <w:t xml:space="preserve">High frequency of resistance, lack of clinical benefit, and poor outcomes in </w:t>
      </w:r>
      <w:proofErr w:type="spellStart"/>
      <w:r w:rsidRPr="00C0535F">
        <w:rPr>
          <w:rFonts w:asciiTheme="majorHAnsi" w:hAnsiTheme="majorHAnsi" w:cs="Calibri"/>
          <w:b/>
          <w:sz w:val="22"/>
          <w:szCs w:val="22"/>
        </w:rPr>
        <w:t>capreomycin</w:t>
      </w:r>
      <w:proofErr w:type="spellEnd"/>
      <w:r w:rsidRPr="00C0535F">
        <w:rPr>
          <w:rFonts w:asciiTheme="majorHAnsi" w:hAnsiTheme="majorHAnsi" w:cs="Calibri"/>
          <w:b/>
          <w:sz w:val="22"/>
          <w:szCs w:val="22"/>
        </w:rPr>
        <w:t xml:space="preserve"> treated South African patients with extensively drug-resistant tuberculosis.</w:t>
      </w:r>
    </w:p>
    <w:p w14:paraId="47E67680" w14:textId="77777777" w:rsidR="008B4FAC" w:rsidRPr="00C0535F" w:rsidRDefault="008B4FAC" w:rsidP="005A5321">
      <w:pPr>
        <w:spacing w:line="480" w:lineRule="auto"/>
        <w:jc w:val="both"/>
        <w:rPr>
          <w:rFonts w:asciiTheme="majorHAnsi" w:hAnsiTheme="majorHAnsi" w:cs="Calibri"/>
          <w:sz w:val="22"/>
          <w:szCs w:val="22"/>
        </w:rPr>
      </w:pPr>
    </w:p>
    <w:p w14:paraId="6F5CEAFB" w14:textId="77777777" w:rsidR="008B4FAC" w:rsidRPr="00C0535F" w:rsidRDefault="008B4FAC" w:rsidP="005A5321">
      <w:pPr>
        <w:spacing w:line="480" w:lineRule="auto"/>
        <w:jc w:val="both"/>
        <w:rPr>
          <w:rFonts w:asciiTheme="majorHAnsi" w:eastAsia="Times New Roman" w:hAnsiTheme="majorHAnsi" w:cs="Cambria"/>
          <w:bCs/>
          <w:sz w:val="22"/>
          <w:szCs w:val="22"/>
          <w:vertAlign w:val="superscript"/>
          <w:lang w:eastAsia="en-ZA"/>
        </w:rPr>
      </w:pPr>
      <w:r w:rsidRPr="00C0535F">
        <w:rPr>
          <w:rFonts w:asciiTheme="majorHAnsi" w:hAnsiTheme="majorHAnsi" w:cs="Calibri"/>
          <w:sz w:val="22"/>
          <w:szCs w:val="22"/>
        </w:rPr>
        <w:t>Elize Pietersen</w:t>
      </w:r>
      <w:r w:rsidRPr="00C0535F">
        <w:rPr>
          <w:rFonts w:asciiTheme="majorHAnsi" w:eastAsia="Times New Roman" w:hAnsiTheme="majorHAnsi" w:cs="Cambria"/>
          <w:bCs/>
          <w:sz w:val="22"/>
          <w:szCs w:val="22"/>
          <w:vertAlign w:val="superscript"/>
          <w:lang w:eastAsia="en-ZA"/>
        </w:rPr>
        <w:t>1</w:t>
      </w:r>
      <w:r w:rsidRPr="00C0535F">
        <w:rPr>
          <w:rFonts w:asciiTheme="majorHAnsi" w:hAnsiTheme="majorHAnsi" w:cs="Calibri"/>
          <w:sz w:val="22"/>
          <w:szCs w:val="22"/>
        </w:rPr>
        <w:t>, Jonny Peter</w:t>
      </w:r>
      <w:r w:rsidRPr="00C0535F">
        <w:rPr>
          <w:rFonts w:asciiTheme="majorHAnsi" w:eastAsia="Times New Roman" w:hAnsiTheme="majorHAnsi" w:cs="Cambria"/>
          <w:bCs/>
          <w:sz w:val="22"/>
          <w:szCs w:val="22"/>
          <w:vertAlign w:val="superscript"/>
          <w:lang w:eastAsia="en-ZA"/>
        </w:rPr>
        <w:t>1</w:t>
      </w:r>
      <w:r w:rsidRPr="00C0535F">
        <w:rPr>
          <w:rFonts w:asciiTheme="majorHAnsi" w:hAnsiTheme="majorHAnsi" w:cs="Calibri"/>
          <w:sz w:val="22"/>
          <w:szCs w:val="22"/>
        </w:rPr>
        <w:t>, Elizabeth Streicher</w:t>
      </w:r>
      <w:r w:rsidRPr="00C0535F">
        <w:rPr>
          <w:rFonts w:asciiTheme="majorHAnsi" w:eastAsia="Times New Roman" w:hAnsiTheme="majorHAnsi" w:cs="Cambria"/>
          <w:bCs/>
          <w:sz w:val="22"/>
          <w:szCs w:val="22"/>
          <w:vertAlign w:val="superscript"/>
          <w:lang w:eastAsia="en-ZA"/>
        </w:rPr>
        <w:t>2</w:t>
      </w:r>
      <w:r w:rsidRPr="00C0535F">
        <w:rPr>
          <w:rFonts w:asciiTheme="majorHAnsi" w:hAnsiTheme="majorHAnsi" w:cs="Calibri"/>
          <w:sz w:val="22"/>
          <w:szCs w:val="22"/>
        </w:rPr>
        <w:t xml:space="preserve">, </w:t>
      </w:r>
      <w:proofErr w:type="spellStart"/>
      <w:r w:rsidRPr="00C0535F">
        <w:rPr>
          <w:rFonts w:asciiTheme="majorHAnsi" w:hAnsiTheme="majorHAnsi" w:cs="Calibri"/>
          <w:sz w:val="22"/>
          <w:szCs w:val="22"/>
        </w:rPr>
        <w:t>Frik</w:t>
      </w:r>
      <w:proofErr w:type="spellEnd"/>
      <w:r w:rsidRPr="00C0535F">
        <w:rPr>
          <w:rFonts w:asciiTheme="majorHAnsi" w:hAnsiTheme="majorHAnsi" w:cs="Calibri"/>
          <w:sz w:val="22"/>
          <w:szCs w:val="22"/>
        </w:rPr>
        <w:t xml:space="preserve"> Sirgel</w:t>
      </w:r>
      <w:r w:rsidRPr="00C0535F">
        <w:rPr>
          <w:rFonts w:asciiTheme="majorHAnsi" w:eastAsia="Times New Roman" w:hAnsiTheme="majorHAnsi" w:cs="Cambria"/>
          <w:bCs/>
          <w:sz w:val="22"/>
          <w:szCs w:val="22"/>
          <w:vertAlign w:val="superscript"/>
          <w:lang w:eastAsia="en-ZA"/>
        </w:rPr>
        <w:t>2</w:t>
      </w:r>
      <w:r w:rsidRPr="00C0535F">
        <w:rPr>
          <w:rFonts w:asciiTheme="majorHAnsi" w:hAnsiTheme="majorHAnsi" w:cs="Calibri"/>
          <w:sz w:val="22"/>
          <w:szCs w:val="22"/>
        </w:rPr>
        <w:t>, Neesha Rockwood</w:t>
      </w:r>
      <w:r w:rsidRPr="00C0535F">
        <w:rPr>
          <w:rFonts w:asciiTheme="majorHAnsi" w:hAnsiTheme="majorHAnsi" w:cs="Calibri"/>
          <w:sz w:val="22"/>
          <w:szCs w:val="22"/>
          <w:vertAlign w:val="superscript"/>
        </w:rPr>
        <w:t>4</w:t>
      </w:r>
      <w:r w:rsidRPr="00C0535F">
        <w:rPr>
          <w:rFonts w:asciiTheme="majorHAnsi" w:hAnsiTheme="majorHAnsi" w:cs="Calibri"/>
          <w:sz w:val="22"/>
          <w:szCs w:val="22"/>
        </w:rPr>
        <w:t>, Barbara Mastrapa</w:t>
      </w:r>
      <w:r w:rsidRPr="00C0535F">
        <w:rPr>
          <w:rFonts w:asciiTheme="majorHAnsi" w:hAnsiTheme="majorHAnsi" w:cs="Calibri"/>
          <w:sz w:val="22"/>
          <w:szCs w:val="22"/>
          <w:vertAlign w:val="superscript"/>
        </w:rPr>
        <w:t>3</w:t>
      </w:r>
      <w:r w:rsidRPr="00C0535F">
        <w:rPr>
          <w:rFonts w:asciiTheme="majorHAnsi" w:hAnsiTheme="majorHAnsi" w:cs="Calibri"/>
          <w:sz w:val="22"/>
          <w:szCs w:val="22"/>
        </w:rPr>
        <w:t xml:space="preserve">, Julian </w:t>
      </w:r>
      <w:proofErr w:type="spellStart"/>
      <w:r w:rsidRPr="00C0535F">
        <w:rPr>
          <w:rFonts w:asciiTheme="majorHAnsi" w:hAnsiTheme="majorHAnsi" w:cs="Calibri"/>
          <w:sz w:val="22"/>
          <w:szCs w:val="22"/>
        </w:rPr>
        <w:t>Te</w:t>
      </w:r>
      <w:proofErr w:type="spellEnd"/>
      <w:r w:rsidRPr="00C0535F">
        <w:rPr>
          <w:rFonts w:asciiTheme="majorHAnsi" w:hAnsiTheme="majorHAnsi" w:cs="Calibri"/>
          <w:sz w:val="22"/>
          <w:szCs w:val="22"/>
        </w:rPr>
        <w:t xml:space="preserve"> Riele</w:t>
      </w:r>
      <w:r w:rsidRPr="00C0535F">
        <w:rPr>
          <w:rFonts w:asciiTheme="majorHAnsi" w:eastAsia="Times New Roman" w:hAnsiTheme="majorHAnsi" w:cs="Cambria"/>
          <w:bCs/>
          <w:sz w:val="22"/>
          <w:szCs w:val="22"/>
          <w:vertAlign w:val="superscript"/>
          <w:lang w:eastAsia="en-ZA"/>
        </w:rPr>
        <w:t>5</w:t>
      </w:r>
      <w:r w:rsidRPr="00C0535F">
        <w:rPr>
          <w:rFonts w:asciiTheme="majorHAnsi" w:hAnsiTheme="majorHAnsi" w:cs="Calibri"/>
          <w:sz w:val="22"/>
          <w:szCs w:val="22"/>
        </w:rPr>
        <w:t xml:space="preserve">, </w:t>
      </w:r>
      <w:proofErr w:type="spellStart"/>
      <w:r w:rsidRPr="00C0535F">
        <w:rPr>
          <w:rFonts w:asciiTheme="majorHAnsi" w:hAnsiTheme="majorHAnsi" w:cs="Calibri"/>
          <w:sz w:val="22"/>
          <w:szCs w:val="22"/>
        </w:rPr>
        <w:t>Malika</w:t>
      </w:r>
      <w:proofErr w:type="spellEnd"/>
      <w:r w:rsidRPr="00C0535F">
        <w:rPr>
          <w:rFonts w:asciiTheme="majorHAnsi" w:hAnsiTheme="majorHAnsi" w:cs="Calibri"/>
          <w:sz w:val="22"/>
          <w:szCs w:val="22"/>
        </w:rPr>
        <w:t xml:space="preserve"> Davids</w:t>
      </w:r>
      <w:r w:rsidRPr="00C0535F">
        <w:rPr>
          <w:rFonts w:asciiTheme="majorHAnsi" w:eastAsia="Times New Roman" w:hAnsiTheme="majorHAnsi" w:cs="Cambria"/>
          <w:bCs/>
          <w:sz w:val="22"/>
          <w:szCs w:val="22"/>
          <w:vertAlign w:val="superscript"/>
          <w:lang w:eastAsia="en-ZA"/>
        </w:rPr>
        <w:t>1</w:t>
      </w:r>
      <w:r w:rsidRPr="00C0535F">
        <w:rPr>
          <w:rFonts w:asciiTheme="majorHAnsi" w:hAnsiTheme="majorHAnsi" w:cs="Calibri"/>
          <w:sz w:val="22"/>
          <w:szCs w:val="22"/>
        </w:rPr>
        <w:t>, Paul van Helden</w:t>
      </w:r>
      <w:r w:rsidRPr="00C0535F">
        <w:rPr>
          <w:rFonts w:asciiTheme="majorHAnsi" w:eastAsia="Times New Roman" w:hAnsiTheme="majorHAnsi" w:cs="Cambria"/>
          <w:bCs/>
          <w:sz w:val="22"/>
          <w:szCs w:val="22"/>
          <w:vertAlign w:val="superscript"/>
          <w:lang w:eastAsia="en-ZA"/>
        </w:rPr>
        <w:t>2</w:t>
      </w:r>
      <w:r w:rsidRPr="00C0535F">
        <w:rPr>
          <w:rFonts w:asciiTheme="majorHAnsi" w:hAnsiTheme="majorHAnsi" w:cs="Calibri"/>
          <w:sz w:val="22"/>
          <w:szCs w:val="22"/>
        </w:rPr>
        <w:t>, Robin Warren</w:t>
      </w:r>
      <w:r w:rsidRPr="00C0535F">
        <w:rPr>
          <w:rFonts w:asciiTheme="majorHAnsi" w:eastAsia="Times New Roman" w:hAnsiTheme="majorHAnsi" w:cs="Cambria"/>
          <w:bCs/>
          <w:sz w:val="22"/>
          <w:szCs w:val="22"/>
          <w:vertAlign w:val="superscript"/>
          <w:lang w:eastAsia="en-ZA"/>
        </w:rPr>
        <w:t>2</w:t>
      </w:r>
      <w:r w:rsidRPr="00C0535F">
        <w:rPr>
          <w:rFonts w:asciiTheme="majorHAnsi" w:hAnsiTheme="majorHAnsi" w:cs="Calibri"/>
          <w:sz w:val="22"/>
          <w:szCs w:val="22"/>
        </w:rPr>
        <w:t>, Keertan Dheda</w:t>
      </w:r>
      <w:r w:rsidRPr="00C0535F">
        <w:rPr>
          <w:rFonts w:asciiTheme="majorHAnsi" w:eastAsia="Times New Roman" w:hAnsiTheme="majorHAnsi" w:cs="Cambria"/>
          <w:bCs/>
          <w:sz w:val="22"/>
          <w:szCs w:val="22"/>
          <w:vertAlign w:val="superscript"/>
          <w:lang w:eastAsia="en-ZA"/>
        </w:rPr>
        <w:t>1</w:t>
      </w:r>
    </w:p>
    <w:p w14:paraId="5AAFA142" w14:textId="77777777" w:rsidR="008B4FAC" w:rsidRPr="00C0535F" w:rsidRDefault="008B4FAC" w:rsidP="005A5321">
      <w:pPr>
        <w:spacing w:before="240" w:line="480" w:lineRule="auto"/>
        <w:contextualSpacing/>
        <w:jc w:val="both"/>
        <w:outlineLvl w:val="2"/>
        <w:rPr>
          <w:rFonts w:asciiTheme="majorHAnsi" w:hAnsiTheme="majorHAnsi" w:cs="Shaker2Lancet-Italic"/>
          <w:iCs/>
          <w:sz w:val="22"/>
          <w:szCs w:val="22"/>
          <w:lang w:val="en-ZA"/>
        </w:rPr>
      </w:pPr>
      <w:r w:rsidRPr="00C0535F">
        <w:rPr>
          <w:rFonts w:asciiTheme="majorHAnsi" w:eastAsia="Times New Roman" w:hAnsiTheme="majorHAnsi" w:cs="Cambria"/>
          <w:bCs/>
          <w:sz w:val="22"/>
          <w:szCs w:val="22"/>
          <w:vertAlign w:val="superscript"/>
          <w:lang w:eastAsia="en-ZA"/>
        </w:rPr>
        <w:t xml:space="preserve">1 </w:t>
      </w:r>
      <w:r w:rsidRPr="00C0535F">
        <w:rPr>
          <w:rFonts w:asciiTheme="majorHAnsi" w:hAnsiTheme="majorHAnsi" w:cs="Shaker2Lancet-Italic"/>
          <w:iCs/>
          <w:sz w:val="22"/>
          <w:szCs w:val="22"/>
          <w:lang w:val="en-ZA"/>
        </w:rPr>
        <w:t xml:space="preserve">Lung Infection and Immunity Unit, Division of Pulmonology and University of Cape Town Lung Institute, Department of Medicine, University of Cape Town, South Africa. </w:t>
      </w:r>
    </w:p>
    <w:p w14:paraId="1ECA4768" w14:textId="6B85373B" w:rsidR="008B4FAC" w:rsidRPr="00C0535F" w:rsidRDefault="008B4FAC" w:rsidP="005A5321">
      <w:pPr>
        <w:spacing w:before="240" w:line="480" w:lineRule="auto"/>
        <w:contextualSpacing/>
        <w:jc w:val="both"/>
        <w:outlineLvl w:val="2"/>
        <w:rPr>
          <w:rFonts w:asciiTheme="majorHAnsi" w:hAnsiTheme="majorHAnsi" w:cs="Shaker2Lancet-Italic"/>
          <w:iCs/>
          <w:sz w:val="22"/>
          <w:szCs w:val="22"/>
          <w:lang w:val="en-ZA"/>
        </w:rPr>
      </w:pPr>
      <w:r w:rsidRPr="00C0535F">
        <w:rPr>
          <w:rFonts w:asciiTheme="majorHAnsi" w:eastAsia="Times New Roman" w:hAnsiTheme="majorHAnsi" w:cs="Cambria"/>
          <w:bCs/>
          <w:sz w:val="22"/>
          <w:szCs w:val="22"/>
          <w:vertAlign w:val="superscript"/>
          <w:lang w:eastAsia="en-ZA"/>
        </w:rPr>
        <w:t>2</w:t>
      </w:r>
      <w:r w:rsidRPr="00C0535F">
        <w:rPr>
          <w:rFonts w:asciiTheme="majorHAnsi" w:hAnsiTheme="majorHAnsi" w:cs="Shaker2Lancet-Italic"/>
          <w:iCs/>
          <w:sz w:val="22"/>
          <w:szCs w:val="22"/>
          <w:lang w:val="en-ZA"/>
        </w:rPr>
        <w:t>Department of Science and Technology/National Research Foundation Centre for Excellence for Biomedical Tuberculosis Research/</w:t>
      </w:r>
      <w:r w:rsidR="00A21C64">
        <w:rPr>
          <w:rFonts w:asciiTheme="majorHAnsi" w:hAnsiTheme="majorHAnsi" w:cs="Shaker2Lancet-Italic"/>
          <w:iCs/>
          <w:sz w:val="22"/>
          <w:szCs w:val="22"/>
          <w:lang w:val="en-ZA"/>
        </w:rPr>
        <w:t>South African</w:t>
      </w:r>
      <w:r w:rsidR="009E5603">
        <w:rPr>
          <w:rFonts w:asciiTheme="majorHAnsi" w:hAnsiTheme="majorHAnsi" w:cs="Shaker2Lancet-Italic"/>
          <w:iCs/>
          <w:sz w:val="22"/>
          <w:szCs w:val="22"/>
          <w:lang w:val="en-ZA"/>
        </w:rPr>
        <w:t xml:space="preserve"> </w:t>
      </w:r>
      <w:r w:rsidRPr="00C0535F">
        <w:rPr>
          <w:rFonts w:asciiTheme="majorHAnsi" w:hAnsiTheme="majorHAnsi" w:cs="Shaker2Lancet-Italic"/>
          <w:iCs/>
          <w:sz w:val="22"/>
          <w:szCs w:val="22"/>
          <w:lang w:val="en-ZA"/>
        </w:rPr>
        <w:t xml:space="preserve">Medical Research Council Centre for TB Research, Division of Molecular Biology and Human Genetics, Faculty of Medicine and Health Science, Stellenbosch University, </w:t>
      </w:r>
      <w:proofErr w:type="spellStart"/>
      <w:r w:rsidRPr="00C0535F">
        <w:rPr>
          <w:rFonts w:asciiTheme="majorHAnsi" w:hAnsiTheme="majorHAnsi" w:cs="Shaker2Lancet-Italic"/>
          <w:iCs/>
          <w:sz w:val="22"/>
          <w:szCs w:val="22"/>
          <w:lang w:val="en-ZA"/>
        </w:rPr>
        <w:t>Tygerberg</w:t>
      </w:r>
      <w:proofErr w:type="spellEnd"/>
      <w:r w:rsidRPr="00C0535F">
        <w:rPr>
          <w:rFonts w:asciiTheme="majorHAnsi" w:hAnsiTheme="majorHAnsi" w:cs="Shaker2Lancet-Italic"/>
          <w:iCs/>
          <w:sz w:val="22"/>
          <w:szCs w:val="22"/>
          <w:lang w:val="en-ZA"/>
        </w:rPr>
        <w:t>, South Africa.</w:t>
      </w:r>
    </w:p>
    <w:p w14:paraId="51221FDF" w14:textId="20BB09DA" w:rsidR="008B4FAC" w:rsidRPr="00C0535F" w:rsidRDefault="008B4FAC" w:rsidP="005A5321">
      <w:pPr>
        <w:spacing w:before="240" w:line="480" w:lineRule="auto"/>
        <w:contextualSpacing/>
        <w:jc w:val="both"/>
        <w:outlineLvl w:val="2"/>
        <w:rPr>
          <w:rFonts w:asciiTheme="majorHAnsi" w:hAnsiTheme="majorHAnsi" w:cs="Shaker2Lancet-Italic"/>
          <w:iCs/>
          <w:sz w:val="22"/>
          <w:szCs w:val="22"/>
          <w:lang w:val="en-ZA"/>
        </w:rPr>
      </w:pPr>
      <w:r w:rsidRPr="00C0535F">
        <w:rPr>
          <w:rFonts w:asciiTheme="majorHAnsi" w:eastAsia="Times New Roman" w:hAnsiTheme="majorHAnsi" w:cs="Cambria"/>
          <w:bCs/>
          <w:sz w:val="22"/>
          <w:szCs w:val="22"/>
          <w:vertAlign w:val="superscript"/>
          <w:lang w:eastAsia="en-ZA"/>
        </w:rPr>
        <w:t xml:space="preserve">3 </w:t>
      </w:r>
      <w:proofErr w:type="spellStart"/>
      <w:r w:rsidRPr="00C0535F">
        <w:rPr>
          <w:rFonts w:asciiTheme="majorHAnsi" w:hAnsiTheme="majorHAnsi" w:cs="Shaker2Lancet-Italic"/>
          <w:iCs/>
          <w:sz w:val="22"/>
          <w:szCs w:val="22"/>
          <w:lang w:val="en-ZA"/>
        </w:rPr>
        <w:t>Gordonia</w:t>
      </w:r>
      <w:proofErr w:type="spellEnd"/>
      <w:r w:rsidRPr="00C0535F">
        <w:rPr>
          <w:rFonts w:asciiTheme="majorHAnsi" w:hAnsiTheme="majorHAnsi" w:cs="Shaker2Lancet-Italic"/>
          <w:iCs/>
          <w:sz w:val="22"/>
          <w:szCs w:val="22"/>
          <w:lang w:val="en-ZA"/>
        </w:rPr>
        <w:t xml:space="preserve"> Provincial </w:t>
      </w:r>
      <w:proofErr w:type="gramStart"/>
      <w:r w:rsidRPr="00C0535F">
        <w:rPr>
          <w:rFonts w:asciiTheme="majorHAnsi" w:hAnsiTheme="majorHAnsi" w:cs="Shaker2Lancet-Italic"/>
          <w:iCs/>
          <w:sz w:val="22"/>
          <w:szCs w:val="22"/>
          <w:lang w:val="en-ZA"/>
        </w:rPr>
        <w:t>Hospital</w:t>
      </w:r>
      <w:proofErr w:type="gramEnd"/>
      <w:r w:rsidRPr="00C0535F">
        <w:rPr>
          <w:rFonts w:asciiTheme="majorHAnsi" w:hAnsiTheme="majorHAnsi" w:cs="Shaker2Lancet-Italic"/>
          <w:iCs/>
          <w:sz w:val="22"/>
          <w:szCs w:val="22"/>
          <w:lang w:val="en-ZA"/>
        </w:rPr>
        <w:t xml:space="preserve">, </w:t>
      </w:r>
      <w:proofErr w:type="spellStart"/>
      <w:r w:rsidRPr="00C0535F">
        <w:rPr>
          <w:rFonts w:asciiTheme="majorHAnsi" w:hAnsiTheme="majorHAnsi" w:cs="Shaker2Lancet-Italic"/>
          <w:iCs/>
          <w:sz w:val="22"/>
          <w:szCs w:val="22"/>
          <w:lang w:val="en-ZA"/>
        </w:rPr>
        <w:t>Upington</w:t>
      </w:r>
      <w:proofErr w:type="spellEnd"/>
      <w:r w:rsidRPr="00C0535F">
        <w:rPr>
          <w:rFonts w:asciiTheme="majorHAnsi" w:hAnsiTheme="majorHAnsi" w:cs="Shaker2Lancet-Italic"/>
          <w:iCs/>
          <w:sz w:val="22"/>
          <w:szCs w:val="22"/>
          <w:lang w:val="en-ZA"/>
        </w:rPr>
        <w:t>, South Africa</w:t>
      </w:r>
      <w:r w:rsidR="004872DA">
        <w:rPr>
          <w:rFonts w:asciiTheme="majorHAnsi" w:hAnsiTheme="majorHAnsi" w:cs="Shaker2Lancet-Italic"/>
          <w:iCs/>
          <w:sz w:val="22"/>
          <w:szCs w:val="22"/>
          <w:lang w:val="en-ZA"/>
        </w:rPr>
        <w:t>.</w:t>
      </w:r>
    </w:p>
    <w:p w14:paraId="252D859B" w14:textId="4275AAB7" w:rsidR="008B4FAC" w:rsidRPr="00C0535F" w:rsidRDefault="008B4FAC" w:rsidP="005A5321">
      <w:pPr>
        <w:spacing w:before="240" w:line="480" w:lineRule="auto"/>
        <w:contextualSpacing/>
        <w:jc w:val="both"/>
        <w:outlineLvl w:val="2"/>
        <w:rPr>
          <w:rFonts w:asciiTheme="majorHAnsi" w:hAnsiTheme="majorHAnsi" w:cs="Shaker2Lancet-Italic"/>
          <w:iCs/>
          <w:sz w:val="22"/>
          <w:szCs w:val="22"/>
          <w:lang w:val="en-ZA"/>
        </w:rPr>
      </w:pPr>
      <w:proofErr w:type="gramStart"/>
      <w:r w:rsidRPr="00C0535F">
        <w:rPr>
          <w:rFonts w:asciiTheme="majorHAnsi" w:hAnsiTheme="majorHAnsi" w:cs="Shaker2Lancet-Italic"/>
          <w:iCs/>
          <w:sz w:val="22"/>
          <w:szCs w:val="22"/>
          <w:vertAlign w:val="superscript"/>
          <w:lang w:val="en-ZA"/>
        </w:rPr>
        <w:t>4</w:t>
      </w:r>
      <w:r w:rsidRPr="00C0535F">
        <w:rPr>
          <w:rFonts w:asciiTheme="majorHAnsi" w:hAnsiTheme="majorHAnsi" w:cs="Shaker2Lancet-Italic"/>
          <w:iCs/>
          <w:sz w:val="22"/>
          <w:szCs w:val="22"/>
          <w:lang w:val="en-ZA"/>
        </w:rPr>
        <w:t xml:space="preserve"> Department of Medicine, Imperial College London, United Kingdom</w:t>
      </w:r>
      <w:r w:rsidR="004872DA">
        <w:rPr>
          <w:rFonts w:asciiTheme="majorHAnsi" w:hAnsiTheme="majorHAnsi" w:cs="Shaker2Lancet-Italic"/>
          <w:iCs/>
          <w:sz w:val="22"/>
          <w:szCs w:val="22"/>
          <w:lang w:val="en-ZA"/>
        </w:rPr>
        <w:t>.</w:t>
      </w:r>
      <w:proofErr w:type="gramEnd"/>
    </w:p>
    <w:p w14:paraId="5E6B4BBF" w14:textId="37230300" w:rsidR="008B4FAC" w:rsidRPr="00C0535F" w:rsidRDefault="008B4FAC" w:rsidP="005A5321">
      <w:pPr>
        <w:spacing w:before="240" w:line="480" w:lineRule="auto"/>
        <w:contextualSpacing/>
        <w:jc w:val="both"/>
        <w:outlineLvl w:val="2"/>
        <w:rPr>
          <w:rFonts w:asciiTheme="majorHAnsi" w:hAnsiTheme="majorHAnsi" w:cs="Shaker2Lancet-Italic"/>
          <w:iCs/>
          <w:sz w:val="22"/>
          <w:szCs w:val="22"/>
          <w:lang w:val="en-ZA"/>
        </w:rPr>
      </w:pPr>
      <w:r w:rsidRPr="00C0535F">
        <w:rPr>
          <w:rFonts w:asciiTheme="majorHAnsi" w:eastAsia="Times New Roman" w:hAnsiTheme="majorHAnsi" w:cs="Cambria"/>
          <w:bCs/>
          <w:sz w:val="22"/>
          <w:szCs w:val="22"/>
          <w:vertAlign w:val="superscript"/>
          <w:lang w:eastAsia="en-ZA"/>
        </w:rPr>
        <w:t xml:space="preserve">5 </w:t>
      </w:r>
      <w:r w:rsidRPr="00C0535F">
        <w:rPr>
          <w:rFonts w:asciiTheme="majorHAnsi" w:hAnsiTheme="majorHAnsi" w:cs="Shaker2Lancet-Italic"/>
          <w:iCs/>
          <w:sz w:val="22"/>
          <w:szCs w:val="22"/>
          <w:lang w:val="en-ZA"/>
        </w:rPr>
        <w:t xml:space="preserve">Brooklyn Chest </w:t>
      </w:r>
      <w:proofErr w:type="gramStart"/>
      <w:r w:rsidRPr="00C0535F">
        <w:rPr>
          <w:rFonts w:asciiTheme="majorHAnsi" w:hAnsiTheme="majorHAnsi" w:cs="Shaker2Lancet-Italic"/>
          <w:iCs/>
          <w:sz w:val="22"/>
          <w:szCs w:val="22"/>
          <w:lang w:val="en-ZA"/>
        </w:rPr>
        <w:t>Hospital</w:t>
      </w:r>
      <w:proofErr w:type="gramEnd"/>
      <w:r w:rsidRPr="00C0535F">
        <w:rPr>
          <w:rFonts w:asciiTheme="majorHAnsi" w:hAnsiTheme="majorHAnsi" w:cs="Shaker2Lancet-Italic"/>
          <w:iCs/>
          <w:sz w:val="22"/>
          <w:szCs w:val="22"/>
          <w:lang w:val="en-ZA"/>
        </w:rPr>
        <w:t>, Cape Town, South Africa</w:t>
      </w:r>
      <w:r w:rsidR="004872DA">
        <w:rPr>
          <w:rFonts w:asciiTheme="majorHAnsi" w:hAnsiTheme="majorHAnsi" w:cs="Shaker2Lancet-Italic"/>
          <w:iCs/>
          <w:sz w:val="22"/>
          <w:szCs w:val="22"/>
          <w:lang w:val="en-ZA"/>
        </w:rPr>
        <w:t>.</w:t>
      </w:r>
    </w:p>
    <w:p w14:paraId="5545C051" w14:textId="77777777" w:rsidR="008B4FAC" w:rsidRPr="00C0535F" w:rsidRDefault="008B4FAC" w:rsidP="005A5321">
      <w:pPr>
        <w:autoSpaceDE w:val="0"/>
        <w:autoSpaceDN w:val="0"/>
        <w:adjustRightInd w:val="0"/>
        <w:spacing w:line="480" w:lineRule="auto"/>
        <w:jc w:val="both"/>
        <w:rPr>
          <w:rFonts w:asciiTheme="majorHAnsi" w:hAnsiTheme="majorHAnsi" w:cs="Shaker2Lancet-Italic"/>
          <w:iCs/>
          <w:sz w:val="22"/>
          <w:szCs w:val="22"/>
          <w:lang w:val="en-ZA"/>
        </w:rPr>
      </w:pPr>
    </w:p>
    <w:p w14:paraId="6FEFCCC6" w14:textId="77777777" w:rsidR="008B4FAC" w:rsidRPr="00C0535F" w:rsidRDefault="008B4FAC" w:rsidP="005A5321">
      <w:pPr>
        <w:autoSpaceDE w:val="0"/>
        <w:autoSpaceDN w:val="0"/>
        <w:adjustRightInd w:val="0"/>
        <w:spacing w:line="480" w:lineRule="auto"/>
        <w:jc w:val="both"/>
        <w:rPr>
          <w:rFonts w:asciiTheme="majorHAnsi" w:hAnsiTheme="majorHAnsi" w:cs="Shaker2Lancet-Italic"/>
          <w:iCs/>
          <w:sz w:val="22"/>
          <w:szCs w:val="22"/>
          <w:lang w:val="en-ZA"/>
        </w:rPr>
      </w:pPr>
      <w:r w:rsidRPr="00C0535F">
        <w:rPr>
          <w:rFonts w:asciiTheme="majorHAnsi" w:hAnsiTheme="majorHAnsi" w:cs="Shaker2Lancet-Italic"/>
          <w:iCs/>
          <w:sz w:val="22"/>
          <w:szCs w:val="22"/>
          <w:lang w:val="en-ZA"/>
        </w:rPr>
        <w:t xml:space="preserve">Corresponding author: </w:t>
      </w:r>
      <w:r w:rsidRPr="00C0535F">
        <w:rPr>
          <w:rFonts w:asciiTheme="majorHAnsi" w:hAnsiTheme="majorHAnsi" w:cs="Shaker2Lancet-Italic"/>
          <w:iCs/>
          <w:sz w:val="22"/>
          <w:szCs w:val="22"/>
          <w:vertAlign w:val="superscript"/>
          <w:lang w:val="en-ZA"/>
        </w:rPr>
        <w:t>†</w:t>
      </w:r>
      <w:r w:rsidRPr="00C0535F">
        <w:rPr>
          <w:rFonts w:asciiTheme="majorHAnsi" w:hAnsiTheme="majorHAnsi" w:cs="Shaker2Lancet-Italic"/>
          <w:iCs/>
          <w:sz w:val="22"/>
          <w:szCs w:val="22"/>
          <w:lang w:val="en-ZA"/>
        </w:rPr>
        <w:t xml:space="preserve">Corresponding author: Keertan Dheda, Division of Pulmonology, </w:t>
      </w:r>
      <w:proofErr w:type="spellStart"/>
      <w:r w:rsidRPr="00C0535F">
        <w:rPr>
          <w:rFonts w:asciiTheme="majorHAnsi" w:hAnsiTheme="majorHAnsi" w:cs="Shaker2Lancet-Italic"/>
          <w:iCs/>
          <w:sz w:val="22"/>
          <w:szCs w:val="22"/>
          <w:lang w:val="en-ZA"/>
        </w:rPr>
        <w:t>Depertment</w:t>
      </w:r>
      <w:proofErr w:type="spellEnd"/>
      <w:r w:rsidRPr="00C0535F">
        <w:rPr>
          <w:rFonts w:asciiTheme="majorHAnsi" w:hAnsiTheme="majorHAnsi" w:cs="Shaker2Lancet-Italic"/>
          <w:iCs/>
          <w:sz w:val="22"/>
          <w:szCs w:val="22"/>
          <w:lang w:val="en-ZA"/>
        </w:rPr>
        <w:t xml:space="preserve"> of Medicine, H47 Old Main Building, Groote </w:t>
      </w:r>
      <w:proofErr w:type="spellStart"/>
      <w:r w:rsidRPr="00C0535F">
        <w:rPr>
          <w:rFonts w:asciiTheme="majorHAnsi" w:hAnsiTheme="majorHAnsi" w:cs="Shaker2Lancet-Italic"/>
          <w:iCs/>
          <w:sz w:val="22"/>
          <w:szCs w:val="22"/>
          <w:lang w:val="en-ZA"/>
        </w:rPr>
        <w:t>Schuur</w:t>
      </w:r>
      <w:proofErr w:type="spellEnd"/>
      <w:r w:rsidRPr="00C0535F">
        <w:rPr>
          <w:rFonts w:asciiTheme="majorHAnsi" w:hAnsiTheme="majorHAnsi" w:cs="Shaker2Lancet-Italic"/>
          <w:iCs/>
          <w:sz w:val="22"/>
          <w:szCs w:val="22"/>
          <w:lang w:val="en-ZA"/>
        </w:rPr>
        <w:t xml:space="preserve"> Hospital, Observatory, 7925, South Africa. Tel.: +27214046509; Fax: +27214047651; Email: keertan.dheda@uct.ac.za.</w:t>
      </w:r>
    </w:p>
    <w:p w14:paraId="4D957F07" w14:textId="77777777" w:rsidR="00B513FE" w:rsidRPr="00C0535F" w:rsidRDefault="00B513FE" w:rsidP="00B513FE">
      <w:pPr>
        <w:spacing w:line="480" w:lineRule="auto"/>
        <w:jc w:val="both"/>
        <w:rPr>
          <w:rFonts w:asciiTheme="majorHAnsi" w:hAnsiTheme="majorHAnsi" w:cs="Calibri"/>
          <w:sz w:val="22"/>
          <w:szCs w:val="22"/>
        </w:rPr>
      </w:pPr>
    </w:p>
    <w:p w14:paraId="07D4B8C5" w14:textId="77777777" w:rsidR="00B513FE" w:rsidRPr="00C0535F" w:rsidRDefault="00B513FE">
      <w:pPr>
        <w:rPr>
          <w:rFonts w:asciiTheme="majorHAnsi" w:eastAsia="Calibri" w:hAnsiTheme="majorHAnsi" w:cs="Consolas"/>
          <w:sz w:val="22"/>
          <w:szCs w:val="22"/>
          <w:u w:val="single"/>
          <w:lang w:val="en-ZA"/>
        </w:rPr>
      </w:pPr>
      <w:r w:rsidRPr="00C0535F">
        <w:rPr>
          <w:rFonts w:asciiTheme="majorHAnsi" w:hAnsiTheme="majorHAnsi"/>
          <w:sz w:val="22"/>
          <w:szCs w:val="22"/>
          <w:u w:val="single"/>
        </w:rPr>
        <w:br w:type="page"/>
      </w:r>
    </w:p>
    <w:p w14:paraId="566DB494" w14:textId="38D44A19" w:rsidR="00C311E3" w:rsidRPr="00C0535F" w:rsidRDefault="00C969E3" w:rsidP="00C311E3">
      <w:pPr>
        <w:spacing w:line="480" w:lineRule="auto"/>
        <w:jc w:val="both"/>
        <w:rPr>
          <w:rFonts w:asciiTheme="majorHAnsi" w:hAnsiTheme="majorHAnsi" w:cs="Calibri"/>
          <w:b/>
          <w:sz w:val="22"/>
          <w:szCs w:val="22"/>
        </w:rPr>
      </w:pPr>
      <w:r w:rsidRPr="00C969E3">
        <w:rPr>
          <w:rFonts w:asciiTheme="majorHAnsi" w:hAnsiTheme="majorHAnsi" w:cs="Calibri"/>
          <w:b/>
          <w:color w:val="FF0000"/>
          <w:sz w:val="22"/>
          <w:szCs w:val="22"/>
        </w:rPr>
        <w:lastRenderedPageBreak/>
        <w:t xml:space="preserve">S1.1 </w:t>
      </w:r>
      <w:r w:rsidR="00C311E3" w:rsidRPr="00C0535F">
        <w:rPr>
          <w:rFonts w:asciiTheme="majorHAnsi" w:hAnsiTheme="majorHAnsi" w:cs="Calibri"/>
          <w:b/>
          <w:sz w:val="22"/>
          <w:szCs w:val="22"/>
        </w:rPr>
        <w:t>Definitions and diagnosis of MDR</w:t>
      </w:r>
      <w:r w:rsidR="006A0C6B">
        <w:rPr>
          <w:rFonts w:asciiTheme="majorHAnsi" w:hAnsiTheme="majorHAnsi" w:cs="Calibri"/>
          <w:b/>
          <w:sz w:val="22"/>
          <w:szCs w:val="22"/>
        </w:rPr>
        <w:t>-TB</w:t>
      </w:r>
      <w:r w:rsidR="00C311E3" w:rsidRPr="00C0535F">
        <w:rPr>
          <w:rFonts w:asciiTheme="majorHAnsi" w:hAnsiTheme="majorHAnsi" w:cs="Calibri"/>
          <w:b/>
          <w:sz w:val="22"/>
          <w:szCs w:val="22"/>
        </w:rPr>
        <w:t xml:space="preserve">, Pre-XDR </w:t>
      </w:r>
      <w:r w:rsidR="006A0C6B">
        <w:rPr>
          <w:rFonts w:asciiTheme="majorHAnsi" w:hAnsiTheme="majorHAnsi" w:cs="Calibri"/>
          <w:b/>
          <w:sz w:val="22"/>
          <w:szCs w:val="22"/>
        </w:rPr>
        <w:t xml:space="preserve">TB </w:t>
      </w:r>
      <w:r w:rsidR="00C311E3" w:rsidRPr="00C0535F">
        <w:rPr>
          <w:rFonts w:asciiTheme="majorHAnsi" w:hAnsiTheme="majorHAnsi" w:cs="Calibri"/>
          <w:b/>
          <w:sz w:val="22"/>
          <w:szCs w:val="22"/>
        </w:rPr>
        <w:t>and XDR-TB</w:t>
      </w:r>
    </w:p>
    <w:p w14:paraId="49B5836E" w14:textId="10341619" w:rsidR="00C311E3" w:rsidRPr="00C0535F" w:rsidRDefault="003D67C7" w:rsidP="00C311E3">
      <w:pPr>
        <w:spacing w:line="480" w:lineRule="auto"/>
        <w:jc w:val="both"/>
        <w:rPr>
          <w:rFonts w:asciiTheme="majorHAnsi" w:hAnsiTheme="majorHAnsi" w:cs="Calibri"/>
          <w:sz w:val="22"/>
          <w:szCs w:val="22"/>
        </w:rPr>
      </w:pPr>
      <w:r>
        <w:rPr>
          <w:rFonts w:asciiTheme="majorHAnsi" w:hAnsiTheme="majorHAnsi" w:cs="Calibri"/>
          <w:sz w:val="22"/>
          <w:szCs w:val="22"/>
        </w:rPr>
        <w:t xml:space="preserve">MDR-TB is defined at resistance to rifampicin and isoniazid. </w:t>
      </w:r>
      <w:r w:rsidR="00C311E3" w:rsidRPr="00C0535F">
        <w:rPr>
          <w:rFonts w:asciiTheme="majorHAnsi" w:hAnsiTheme="majorHAnsi" w:cs="Calibri"/>
          <w:sz w:val="22"/>
          <w:szCs w:val="22"/>
        </w:rPr>
        <w:t xml:space="preserve">Pre-XDR TB is defined as resistance to rifampicin, isoniazid and either a </w:t>
      </w:r>
      <w:proofErr w:type="spellStart"/>
      <w:r w:rsidR="00C311E3" w:rsidRPr="00C0535F">
        <w:rPr>
          <w:rFonts w:asciiTheme="majorHAnsi" w:hAnsiTheme="majorHAnsi" w:cs="Calibri"/>
          <w:sz w:val="22"/>
          <w:szCs w:val="22"/>
        </w:rPr>
        <w:t>fluoroquinolone</w:t>
      </w:r>
      <w:proofErr w:type="spellEnd"/>
      <w:r w:rsidR="00C311E3" w:rsidRPr="00C0535F">
        <w:rPr>
          <w:rFonts w:asciiTheme="majorHAnsi" w:hAnsiTheme="majorHAnsi" w:cs="Calibri"/>
          <w:sz w:val="22"/>
          <w:szCs w:val="22"/>
        </w:rPr>
        <w:t xml:space="preserve"> or a second line injectable drug (</w:t>
      </w:r>
      <w:proofErr w:type="spellStart"/>
      <w:r w:rsidR="00C311E3" w:rsidRPr="00C0535F">
        <w:rPr>
          <w:rFonts w:asciiTheme="majorHAnsi" w:hAnsiTheme="majorHAnsi" w:cs="Calibri"/>
          <w:sz w:val="22"/>
          <w:szCs w:val="22"/>
        </w:rPr>
        <w:t>amikacin</w:t>
      </w:r>
      <w:proofErr w:type="spellEnd"/>
      <w:r w:rsidR="00C311E3" w:rsidRPr="00C0535F">
        <w:rPr>
          <w:rFonts w:asciiTheme="majorHAnsi" w:hAnsiTheme="majorHAnsi" w:cs="Calibri"/>
          <w:sz w:val="22"/>
          <w:szCs w:val="22"/>
        </w:rPr>
        <w:t xml:space="preserve">, kanamycin or </w:t>
      </w:r>
      <w:proofErr w:type="spellStart"/>
      <w:r w:rsidR="00C311E3" w:rsidRPr="00C0535F">
        <w:rPr>
          <w:rFonts w:asciiTheme="majorHAnsi" w:hAnsiTheme="majorHAnsi" w:cs="Calibri"/>
          <w:sz w:val="22"/>
          <w:szCs w:val="22"/>
        </w:rPr>
        <w:t>capreomycin</w:t>
      </w:r>
      <w:proofErr w:type="spellEnd"/>
      <w:r w:rsidR="00C311E3" w:rsidRPr="00C0535F">
        <w:rPr>
          <w:rFonts w:asciiTheme="majorHAnsi" w:hAnsiTheme="majorHAnsi" w:cs="Calibri"/>
          <w:sz w:val="22"/>
          <w:szCs w:val="22"/>
        </w:rPr>
        <w:t xml:space="preserve">). In this study patients with isolates of </w:t>
      </w:r>
      <w:r w:rsidR="00C311E3" w:rsidRPr="00C0535F">
        <w:rPr>
          <w:rFonts w:asciiTheme="majorHAnsi" w:hAnsiTheme="majorHAnsi" w:cs="Calibri"/>
          <w:i/>
          <w:sz w:val="22"/>
          <w:szCs w:val="22"/>
        </w:rPr>
        <w:t>M. tuberculosis</w:t>
      </w:r>
      <w:r w:rsidR="00C311E3" w:rsidRPr="00C0535F">
        <w:rPr>
          <w:rFonts w:asciiTheme="majorHAnsi" w:hAnsiTheme="majorHAnsi" w:cs="Calibri"/>
          <w:sz w:val="22"/>
          <w:szCs w:val="22"/>
        </w:rPr>
        <w:t xml:space="preserve"> that were resistant at diagnosis (time of sputum collection) to at least isoniazid, rifampicin, a </w:t>
      </w:r>
      <w:proofErr w:type="spellStart"/>
      <w:r w:rsidR="00C311E3" w:rsidRPr="00C0535F">
        <w:rPr>
          <w:rFonts w:asciiTheme="majorHAnsi" w:hAnsiTheme="majorHAnsi" w:cs="Calibri"/>
          <w:sz w:val="22"/>
          <w:szCs w:val="22"/>
        </w:rPr>
        <w:t>fluoroquinolone</w:t>
      </w:r>
      <w:proofErr w:type="spellEnd"/>
      <w:r w:rsidR="00C311E3" w:rsidRPr="00C0535F">
        <w:rPr>
          <w:rFonts w:asciiTheme="majorHAnsi" w:hAnsiTheme="majorHAnsi" w:cs="Calibri"/>
          <w:sz w:val="22"/>
          <w:szCs w:val="22"/>
        </w:rPr>
        <w:t xml:space="preserve"> and at least one of the second-line injectable drugs (</w:t>
      </w:r>
      <w:proofErr w:type="spellStart"/>
      <w:r w:rsidR="00C311E3" w:rsidRPr="00C0535F">
        <w:rPr>
          <w:rFonts w:asciiTheme="majorHAnsi" w:hAnsiTheme="majorHAnsi" w:cs="Calibri"/>
          <w:sz w:val="22"/>
          <w:szCs w:val="22"/>
        </w:rPr>
        <w:t>amikacin</w:t>
      </w:r>
      <w:proofErr w:type="spellEnd"/>
      <w:r w:rsidR="00C311E3" w:rsidRPr="00C0535F">
        <w:rPr>
          <w:rFonts w:asciiTheme="majorHAnsi" w:hAnsiTheme="majorHAnsi" w:cs="Calibri"/>
          <w:sz w:val="22"/>
          <w:szCs w:val="22"/>
        </w:rPr>
        <w:t xml:space="preserve"> drug susceptibility testing was performed in almost all patients; </w:t>
      </w:r>
      <w:proofErr w:type="spellStart"/>
      <w:r w:rsidR="00C311E3" w:rsidRPr="00C0535F">
        <w:rPr>
          <w:rFonts w:asciiTheme="majorHAnsi" w:hAnsiTheme="majorHAnsi" w:cs="Calibri"/>
          <w:sz w:val="22"/>
          <w:szCs w:val="22"/>
        </w:rPr>
        <w:t>capreomycin</w:t>
      </w:r>
      <w:proofErr w:type="spellEnd"/>
      <w:r w:rsidR="00C311E3" w:rsidRPr="00C0535F">
        <w:rPr>
          <w:rFonts w:asciiTheme="majorHAnsi" w:hAnsiTheme="majorHAnsi" w:cs="Calibri"/>
          <w:sz w:val="22"/>
          <w:szCs w:val="22"/>
        </w:rPr>
        <w:t xml:space="preserve"> susceptibility was only available in a minority of patients) were judged to have extensively drug-resistant tuberculosis (XDR-TB).   </w:t>
      </w:r>
    </w:p>
    <w:p w14:paraId="538001DB" w14:textId="77777777" w:rsidR="00C311E3" w:rsidRPr="00C0535F" w:rsidRDefault="00C311E3" w:rsidP="006E3E2E">
      <w:pPr>
        <w:pStyle w:val="PlainText"/>
        <w:rPr>
          <w:rFonts w:asciiTheme="majorHAnsi" w:hAnsiTheme="majorHAnsi"/>
          <w:szCs w:val="22"/>
          <w:u w:val="single"/>
        </w:rPr>
      </w:pPr>
    </w:p>
    <w:p w14:paraId="59F3C052" w14:textId="432B7560" w:rsidR="006E3E2E" w:rsidRPr="00C0535F" w:rsidRDefault="00C969E3" w:rsidP="005A5321">
      <w:pPr>
        <w:pStyle w:val="PlainText"/>
        <w:jc w:val="both"/>
        <w:rPr>
          <w:rFonts w:asciiTheme="majorHAnsi" w:hAnsiTheme="majorHAnsi"/>
          <w:szCs w:val="22"/>
          <w:u w:val="single"/>
        </w:rPr>
      </w:pPr>
      <w:r w:rsidRPr="00C969E3">
        <w:rPr>
          <w:rFonts w:asciiTheme="majorHAnsi" w:hAnsiTheme="majorHAnsi"/>
          <w:color w:val="FF0000"/>
          <w:szCs w:val="22"/>
          <w:u w:val="single"/>
        </w:rPr>
        <w:t xml:space="preserve">S1.2 </w:t>
      </w:r>
      <w:r w:rsidR="00E56887" w:rsidRPr="00C0535F">
        <w:rPr>
          <w:rFonts w:asciiTheme="majorHAnsi" w:hAnsiTheme="majorHAnsi"/>
          <w:szCs w:val="22"/>
          <w:u w:val="single"/>
        </w:rPr>
        <w:t>Genotyping</w:t>
      </w:r>
    </w:p>
    <w:p w14:paraId="4B349C20" w14:textId="77777777" w:rsidR="00154E00" w:rsidRPr="00C0535F" w:rsidRDefault="00154E00" w:rsidP="005A5321">
      <w:pPr>
        <w:pStyle w:val="PlainText"/>
        <w:jc w:val="both"/>
        <w:rPr>
          <w:rFonts w:asciiTheme="majorHAnsi" w:hAnsiTheme="majorHAnsi"/>
          <w:szCs w:val="22"/>
          <w:u w:val="single"/>
        </w:rPr>
      </w:pPr>
    </w:p>
    <w:p w14:paraId="3171D16D" w14:textId="6AA034BC" w:rsidR="005C5187" w:rsidRPr="00C0535F" w:rsidRDefault="006E3E2E" w:rsidP="005A5321">
      <w:pPr>
        <w:spacing w:line="480" w:lineRule="auto"/>
        <w:jc w:val="both"/>
        <w:rPr>
          <w:rFonts w:asciiTheme="majorHAnsi" w:hAnsiTheme="majorHAnsi" w:cs="Calibri"/>
          <w:sz w:val="22"/>
          <w:szCs w:val="22"/>
        </w:rPr>
      </w:pPr>
      <w:proofErr w:type="gramStart"/>
      <w:r w:rsidRPr="00C0535F">
        <w:rPr>
          <w:rFonts w:asciiTheme="majorHAnsi" w:hAnsiTheme="majorHAnsi"/>
          <w:sz w:val="22"/>
          <w:szCs w:val="22"/>
        </w:rPr>
        <w:t xml:space="preserve">DNA sequencing of the region encompassing nucleotide 1401 of the </w:t>
      </w:r>
      <w:proofErr w:type="spellStart"/>
      <w:r w:rsidRPr="00884FC4">
        <w:rPr>
          <w:rFonts w:asciiTheme="majorHAnsi" w:hAnsiTheme="majorHAnsi"/>
          <w:i/>
          <w:sz w:val="22"/>
          <w:szCs w:val="22"/>
        </w:rPr>
        <w:t>rrs</w:t>
      </w:r>
      <w:proofErr w:type="spellEnd"/>
      <w:r w:rsidRPr="00C0535F">
        <w:rPr>
          <w:rFonts w:asciiTheme="majorHAnsi" w:hAnsiTheme="majorHAnsi"/>
          <w:sz w:val="22"/>
          <w:szCs w:val="22"/>
        </w:rPr>
        <w:t xml:space="preserve"> gene (amplification product nucleotide 1339 to 1528).</w:t>
      </w:r>
      <w:proofErr w:type="gramEnd"/>
      <w:r w:rsidRPr="00C0535F">
        <w:rPr>
          <w:rFonts w:asciiTheme="majorHAnsi" w:hAnsiTheme="majorHAnsi"/>
          <w:sz w:val="22"/>
          <w:szCs w:val="22"/>
        </w:rPr>
        <w:t xml:space="preserve"> Briefly, a 200 µl aliquot of the MGIT culture was heat inactivated by incubating at 100°C for 30 min to generate a crude DNA lysate. PCR amplification was done in a reaction mixture containing 2 </w:t>
      </w:r>
      <w:r w:rsidR="00A21C64">
        <w:rPr>
          <w:rFonts w:asciiTheme="majorHAnsi" w:hAnsiTheme="majorHAnsi" w:cstheme="majorHAnsi"/>
          <w:sz w:val="22"/>
          <w:szCs w:val="22"/>
        </w:rPr>
        <w:t>µ</w:t>
      </w:r>
      <w:r w:rsidRPr="00C0535F">
        <w:rPr>
          <w:rFonts w:asciiTheme="majorHAnsi" w:hAnsiTheme="majorHAnsi"/>
          <w:sz w:val="22"/>
          <w:szCs w:val="22"/>
        </w:rPr>
        <w:t xml:space="preserve">l crude DNA template, 5 </w:t>
      </w:r>
      <w:r w:rsidR="00A21C64">
        <w:rPr>
          <w:rFonts w:asciiTheme="majorHAnsi" w:hAnsiTheme="majorHAnsi" w:cstheme="majorHAnsi"/>
          <w:sz w:val="22"/>
          <w:szCs w:val="22"/>
        </w:rPr>
        <w:t>µ</w:t>
      </w:r>
      <w:r w:rsidRPr="00C0535F">
        <w:rPr>
          <w:rFonts w:asciiTheme="majorHAnsi" w:hAnsiTheme="majorHAnsi"/>
          <w:sz w:val="22"/>
          <w:szCs w:val="22"/>
        </w:rPr>
        <w:t xml:space="preserve">l Q-Buffer, 2.5 </w:t>
      </w:r>
      <w:r w:rsidR="00A21C64">
        <w:rPr>
          <w:rFonts w:asciiTheme="majorHAnsi" w:hAnsiTheme="majorHAnsi" w:cstheme="majorHAnsi"/>
          <w:sz w:val="22"/>
          <w:szCs w:val="22"/>
        </w:rPr>
        <w:t>µ</w:t>
      </w:r>
      <w:r w:rsidRPr="00C0535F">
        <w:rPr>
          <w:rFonts w:asciiTheme="majorHAnsi" w:hAnsiTheme="majorHAnsi"/>
          <w:sz w:val="22"/>
          <w:szCs w:val="22"/>
        </w:rPr>
        <w:t xml:space="preserve">l 10 x Buffer, 2 </w:t>
      </w:r>
      <w:r w:rsidR="00A21C64">
        <w:rPr>
          <w:rFonts w:asciiTheme="majorHAnsi" w:hAnsiTheme="majorHAnsi" w:cstheme="majorHAnsi"/>
          <w:sz w:val="22"/>
          <w:szCs w:val="22"/>
        </w:rPr>
        <w:t>µ</w:t>
      </w:r>
      <w:r w:rsidRPr="00C0535F">
        <w:rPr>
          <w:rFonts w:asciiTheme="majorHAnsi" w:hAnsiTheme="majorHAnsi"/>
          <w:sz w:val="22"/>
          <w:szCs w:val="22"/>
        </w:rPr>
        <w:t xml:space="preserve">l 25 </w:t>
      </w:r>
      <w:proofErr w:type="spellStart"/>
      <w:r w:rsidRPr="00C0535F">
        <w:rPr>
          <w:rFonts w:asciiTheme="majorHAnsi" w:hAnsiTheme="majorHAnsi"/>
          <w:sz w:val="22"/>
          <w:szCs w:val="22"/>
        </w:rPr>
        <w:t>mM</w:t>
      </w:r>
      <w:proofErr w:type="spellEnd"/>
      <w:r w:rsidRPr="00C0535F">
        <w:rPr>
          <w:rFonts w:asciiTheme="majorHAnsi" w:hAnsiTheme="majorHAnsi"/>
          <w:sz w:val="22"/>
          <w:szCs w:val="22"/>
        </w:rPr>
        <w:t xml:space="preserve"> MgCl2, 4 </w:t>
      </w:r>
      <w:r w:rsidR="00A21C64">
        <w:rPr>
          <w:rFonts w:asciiTheme="majorHAnsi" w:hAnsiTheme="majorHAnsi" w:cstheme="majorHAnsi"/>
          <w:sz w:val="22"/>
          <w:szCs w:val="22"/>
        </w:rPr>
        <w:t>µ</w:t>
      </w:r>
      <w:r w:rsidRPr="00C0535F">
        <w:rPr>
          <w:rFonts w:asciiTheme="majorHAnsi" w:hAnsiTheme="majorHAnsi"/>
          <w:sz w:val="22"/>
          <w:szCs w:val="22"/>
        </w:rPr>
        <w:t xml:space="preserve">l 10 </w:t>
      </w:r>
      <w:proofErr w:type="spellStart"/>
      <w:r w:rsidRPr="00C0535F">
        <w:rPr>
          <w:rFonts w:asciiTheme="majorHAnsi" w:hAnsiTheme="majorHAnsi"/>
          <w:sz w:val="22"/>
          <w:szCs w:val="22"/>
        </w:rPr>
        <w:t>mM</w:t>
      </w:r>
      <w:proofErr w:type="spellEnd"/>
      <w:r w:rsidRPr="00C0535F">
        <w:rPr>
          <w:rFonts w:asciiTheme="majorHAnsi" w:hAnsiTheme="majorHAnsi"/>
          <w:sz w:val="22"/>
          <w:szCs w:val="22"/>
        </w:rPr>
        <w:t xml:space="preserve"> </w:t>
      </w:r>
      <w:proofErr w:type="spellStart"/>
      <w:r w:rsidRPr="00C0535F">
        <w:rPr>
          <w:rFonts w:asciiTheme="majorHAnsi" w:hAnsiTheme="majorHAnsi"/>
          <w:sz w:val="22"/>
          <w:szCs w:val="22"/>
        </w:rPr>
        <w:t>dNTPs</w:t>
      </w:r>
      <w:proofErr w:type="spellEnd"/>
      <w:r w:rsidRPr="00C0535F">
        <w:rPr>
          <w:rFonts w:asciiTheme="majorHAnsi" w:hAnsiTheme="majorHAnsi"/>
          <w:sz w:val="22"/>
          <w:szCs w:val="22"/>
        </w:rPr>
        <w:t xml:space="preserve">, 1 </w:t>
      </w:r>
      <w:r w:rsidR="00A21C64">
        <w:rPr>
          <w:rFonts w:asciiTheme="majorHAnsi" w:hAnsiTheme="majorHAnsi" w:cstheme="majorHAnsi"/>
          <w:sz w:val="22"/>
          <w:szCs w:val="22"/>
        </w:rPr>
        <w:t>µ</w:t>
      </w:r>
      <w:r w:rsidRPr="00C0535F">
        <w:rPr>
          <w:rFonts w:asciiTheme="majorHAnsi" w:hAnsiTheme="majorHAnsi"/>
          <w:sz w:val="22"/>
          <w:szCs w:val="22"/>
        </w:rPr>
        <w:t xml:space="preserve">l of the </w:t>
      </w:r>
      <w:proofErr w:type="spellStart"/>
      <w:r w:rsidRPr="00884FC4">
        <w:rPr>
          <w:rFonts w:asciiTheme="majorHAnsi" w:hAnsiTheme="majorHAnsi"/>
          <w:i/>
          <w:sz w:val="22"/>
          <w:szCs w:val="22"/>
        </w:rPr>
        <w:t>rrs</w:t>
      </w:r>
      <w:proofErr w:type="spellEnd"/>
      <w:r w:rsidRPr="00C0535F">
        <w:rPr>
          <w:rFonts w:asciiTheme="majorHAnsi" w:hAnsiTheme="majorHAnsi"/>
          <w:sz w:val="22"/>
          <w:szCs w:val="22"/>
        </w:rPr>
        <w:t xml:space="preserve"> primer set</w:t>
      </w:r>
      <w:r w:rsidR="00A21C64">
        <w:rPr>
          <w:rFonts w:asciiTheme="majorHAnsi" w:hAnsiTheme="majorHAnsi"/>
          <w:sz w:val="22"/>
          <w:szCs w:val="22"/>
        </w:rPr>
        <w:t xml:space="preserve"> (</w:t>
      </w:r>
      <w:r w:rsidRPr="00C0535F">
        <w:rPr>
          <w:rFonts w:asciiTheme="majorHAnsi" w:hAnsiTheme="majorHAnsi"/>
          <w:sz w:val="22"/>
          <w:szCs w:val="22"/>
        </w:rPr>
        <w:t xml:space="preserve">Forward 5'-GTAATCGCAGATCAGCAAC-3' and Reverse 5'- GTGATCCAGCCGCACCTT -3'), 0.125 </w:t>
      </w:r>
      <w:r w:rsidR="00A21C64">
        <w:rPr>
          <w:rFonts w:asciiTheme="majorHAnsi" w:hAnsiTheme="majorHAnsi" w:cstheme="majorHAnsi"/>
          <w:sz w:val="22"/>
          <w:szCs w:val="22"/>
        </w:rPr>
        <w:t>µ</w:t>
      </w:r>
      <w:r w:rsidRPr="00C0535F">
        <w:rPr>
          <w:rFonts w:asciiTheme="majorHAnsi" w:hAnsiTheme="majorHAnsi"/>
          <w:sz w:val="22"/>
          <w:szCs w:val="22"/>
        </w:rPr>
        <w:t xml:space="preserve">l </w:t>
      </w:r>
      <w:proofErr w:type="spellStart"/>
      <w:r w:rsidRPr="00C0535F">
        <w:rPr>
          <w:rFonts w:asciiTheme="majorHAnsi" w:hAnsiTheme="majorHAnsi"/>
          <w:sz w:val="22"/>
          <w:szCs w:val="22"/>
        </w:rPr>
        <w:t>HotStarTaq</w:t>
      </w:r>
      <w:proofErr w:type="spellEnd"/>
      <w:r w:rsidRPr="00C0535F">
        <w:rPr>
          <w:rFonts w:asciiTheme="majorHAnsi" w:hAnsiTheme="majorHAnsi"/>
          <w:sz w:val="22"/>
          <w:szCs w:val="22"/>
        </w:rPr>
        <w:t xml:space="preserve"> DNA polymerase (</w:t>
      </w:r>
      <w:proofErr w:type="spellStart"/>
      <w:r w:rsidRPr="00C0535F">
        <w:rPr>
          <w:rFonts w:asciiTheme="majorHAnsi" w:hAnsiTheme="majorHAnsi"/>
          <w:sz w:val="22"/>
          <w:szCs w:val="22"/>
        </w:rPr>
        <w:t>Qiagen</w:t>
      </w:r>
      <w:proofErr w:type="spellEnd"/>
      <w:r w:rsidRPr="00C0535F">
        <w:rPr>
          <w:rFonts w:asciiTheme="majorHAnsi" w:hAnsiTheme="majorHAnsi"/>
          <w:sz w:val="22"/>
          <w:szCs w:val="22"/>
        </w:rPr>
        <w:t xml:space="preserve">, Germany) and made up to 25 </w:t>
      </w:r>
      <w:r w:rsidR="00A21C64">
        <w:rPr>
          <w:rFonts w:asciiTheme="majorHAnsi" w:hAnsiTheme="majorHAnsi" w:cstheme="majorHAnsi"/>
          <w:sz w:val="22"/>
          <w:szCs w:val="22"/>
        </w:rPr>
        <w:t>µ</w:t>
      </w:r>
      <w:r w:rsidRPr="00C0535F">
        <w:rPr>
          <w:rFonts w:asciiTheme="majorHAnsi" w:hAnsiTheme="majorHAnsi"/>
          <w:sz w:val="22"/>
          <w:szCs w:val="22"/>
        </w:rPr>
        <w:t>l with dH2O. Amplification was initiated by incubation at 95</w:t>
      </w:r>
      <w:r w:rsidR="00A21C64" w:rsidRPr="00C0535F">
        <w:rPr>
          <w:rFonts w:asciiTheme="majorHAnsi" w:hAnsiTheme="majorHAnsi"/>
          <w:sz w:val="22"/>
          <w:szCs w:val="22"/>
        </w:rPr>
        <w:t>°</w:t>
      </w:r>
      <w:r w:rsidRPr="00C0535F">
        <w:rPr>
          <w:rFonts w:asciiTheme="majorHAnsi" w:hAnsiTheme="majorHAnsi"/>
          <w:sz w:val="22"/>
          <w:szCs w:val="22"/>
        </w:rPr>
        <w:t>C for 15 minutes, followed by 35 - 45 cycles at 94</w:t>
      </w:r>
      <w:r w:rsidR="00A21C64" w:rsidRPr="00C0535F">
        <w:rPr>
          <w:rFonts w:asciiTheme="majorHAnsi" w:hAnsiTheme="majorHAnsi"/>
          <w:sz w:val="22"/>
          <w:szCs w:val="22"/>
        </w:rPr>
        <w:t>°</w:t>
      </w:r>
      <w:r w:rsidRPr="00C0535F">
        <w:rPr>
          <w:rFonts w:asciiTheme="majorHAnsi" w:hAnsiTheme="majorHAnsi"/>
          <w:sz w:val="22"/>
          <w:szCs w:val="22"/>
        </w:rPr>
        <w:t>C for 45 seconds, 62</w:t>
      </w:r>
      <w:r w:rsidR="00A21C64" w:rsidRPr="00C0535F">
        <w:rPr>
          <w:rFonts w:asciiTheme="majorHAnsi" w:hAnsiTheme="majorHAnsi"/>
          <w:sz w:val="22"/>
          <w:szCs w:val="22"/>
        </w:rPr>
        <w:t>°</w:t>
      </w:r>
      <w:r w:rsidRPr="00C0535F">
        <w:rPr>
          <w:rFonts w:asciiTheme="majorHAnsi" w:hAnsiTheme="majorHAnsi"/>
          <w:sz w:val="22"/>
          <w:szCs w:val="22"/>
        </w:rPr>
        <w:t>C for 45 seconds, and 72</w:t>
      </w:r>
      <w:r w:rsidR="00A21C64" w:rsidRPr="00C0535F">
        <w:rPr>
          <w:rFonts w:asciiTheme="majorHAnsi" w:hAnsiTheme="majorHAnsi"/>
          <w:sz w:val="22"/>
          <w:szCs w:val="22"/>
        </w:rPr>
        <w:t>°</w:t>
      </w:r>
      <w:r w:rsidRPr="00C0535F">
        <w:rPr>
          <w:rFonts w:asciiTheme="majorHAnsi" w:hAnsiTheme="majorHAnsi"/>
          <w:sz w:val="22"/>
          <w:szCs w:val="22"/>
        </w:rPr>
        <w:t>C for 45 seconds. After the last cycle, the samples were incubated at 72</w:t>
      </w:r>
      <w:r w:rsidR="00A21C64" w:rsidRPr="00C0535F">
        <w:rPr>
          <w:rFonts w:asciiTheme="majorHAnsi" w:hAnsiTheme="majorHAnsi"/>
          <w:sz w:val="22"/>
          <w:szCs w:val="22"/>
        </w:rPr>
        <w:t>°</w:t>
      </w:r>
      <w:r w:rsidRPr="00C0535F">
        <w:rPr>
          <w:rFonts w:asciiTheme="majorHAnsi" w:hAnsiTheme="majorHAnsi"/>
          <w:sz w:val="22"/>
          <w:szCs w:val="22"/>
        </w:rPr>
        <w:t xml:space="preserve">C for 10 minutes. To minimize laboratory cross-contamination the preparation of the PCR reaction mixes, the addition of the DNA and the PCR amplification were conducted in physically separated rooms. Negative controls (water) were included to detect reagent contamination. Amplification was confirmed by electrophoretic fractionation in 1% agarose containing TBE pH 8.3. Amplification products were sequenced using the ABI3130XL genetic </w:t>
      </w:r>
      <w:proofErr w:type="spellStart"/>
      <w:r w:rsidRPr="00C0535F">
        <w:rPr>
          <w:rFonts w:asciiTheme="majorHAnsi" w:hAnsiTheme="majorHAnsi"/>
          <w:sz w:val="22"/>
          <w:szCs w:val="22"/>
        </w:rPr>
        <w:t>analyzer</w:t>
      </w:r>
      <w:proofErr w:type="spellEnd"/>
      <w:r w:rsidRPr="00C0535F">
        <w:rPr>
          <w:rFonts w:asciiTheme="majorHAnsi" w:hAnsiTheme="majorHAnsi"/>
          <w:sz w:val="22"/>
          <w:szCs w:val="22"/>
        </w:rPr>
        <w:t xml:space="preserve"> and the resulting chromatograms were analysed using </w:t>
      </w:r>
      <w:proofErr w:type="spellStart"/>
      <w:r w:rsidRPr="00C0535F">
        <w:rPr>
          <w:rFonts w:asciiTheme="majorHAnsi" w:hAnsiTheme="majorHAnsi"/>
          <w:sz w:val="22"/>
          <w:szCs w:val="22"/>
        </w:rPr>
        <w:t>Chromas</w:t>
      </w:r>
      <w:proofErr w:type="spellEnd"/>
      <w:r w:rsidRPr="00C0535F">
        <w:rPr>
          <w:rFonts w:asciiTheme="majorHAnsi" w:hAnsiTheme="majorHAnsi"/>
          <w:sz w:val="22"/>
          <w:szCs w:val="22"/>
        </w:rPr>
        <w:t xml:space="preserve"> software</w:t>
      </w:r>
    </w:p>
    <w:p w14:paraId="767C1D2F" w14:textId="77777777" w:rsidR="005C5187" w:rsidRPr="00C0535F" w:rsidRDefault="005C5187" w:rsidP="005A5321">
      <w:pPr>
        <w:jc w:val="both"/>
        <w:rPr>
          <w:rFonts w:asciiTheme="majorHAnsi" w:hAnsiTheme="majorHAnsi" w:cs="Calibri"/>
          <w:sz w:val="22"/>
          <w:szCs w:val="22"/>
        </w:rPr>
      </w:pPr>
    </w:p>
    <w:p w14:paraId="1DD979B6" w14:textId="77777777" w:rsidR="00AC1B9D" w:rsidRDefault="00AC1B9D" w:rsidP="005A5321">
      <w:pPr>
        <w:spacing w:line="480" w:lineRule="auto"/>
        <w:jc w:val="both"/>
        <w:rPr>
          <w:rFonts w:asciiTheme="majorHAnsi" w:hAnsiTheme="majorHAnsi" w:cs="Calibri"/>
          <w:b/>
          <w:sz w:val="22"/>
          <w:szCs w:val="22"/>
        </w:rPr>
      </w:pPr>
    </w:p>
    <w:p w14:paraId="1F140EEE" w14:textId="77777777" w:rsidR="00884FC4" w:rsidRPr="00C0535F" w:rsidRDefault="00884FC4" w:rsidP="005A5321">
      <w:pPr>
        <w:spacing w:line="480" w:lineRule="auto"/>
        <w:jc w:val="both"/>
        <w:rPr>
          <w:rFonts w:asciiTheme="majorHAnsi" w:hAnsiTheme="majorHAnsi" w:cs="Calibri"/>
          <w:b/>
          <w:sz w:val="22"/>
          <w:szCs w:val="22"/>
        </w:rPr>
      </w:pPr>
    </w:p>
    <w:p w14:paraId="3B1EFCAE" w14:textId="77777777" w:rsidR="00AC1B9D" w:rsidRPr="00C0535F" w:rsidRDefault="00AC1B9D" w:rsidP="005A5321">
      <w:pPr>
        <w:spacing w:line="480" w:lineRule="auto"/>
        <w:jc w:val="both"/>
        <w:rPr>
          <w:rFonts w:asciiTheme="majorHAnsi" w:hAnsiTheme="majorHAnsi" w:cs="Calibri"/>
          <w:b/>
          <w:sz w:val="22"/>
          <w:szCs w:val="22"/>
        </w:rPr>
      </w:pPr>
    </w:p>
    <w:p w14:paraId="1DF1CC66" w14:textId="7542CAF9" w:rsidR="00C311E3" w:rsidRPr="00C0535F" w:rsidRDefault="00C969E3" w:rsidP="005A5321">
      <w:pPr>
        <w:spacing w:line="480" w:lineRule="auto"/>
        <w:jc w:val="both"/>
        <w:rPr>
          <w:rFonts w:asciiTheme="majorHAnsi" w:hAnsiTheme="majorHAnsi" w:cs="Calibri"/>
          <w:b/>
          <w:sz w:val="22"/>
          <w:szCs w:val="22"/>
        </w:rPr>
      </w:pPr>
      <w:bookmarkStart w:id="0" w:name="_GoBack"/>
      <w:r w:rsidRPr="00C969E3">
        <w:rPr>
          <w:rFonts w:asciiTheme="majorHAnsi" w:hAnsiTheme="majorHAnsi" w:cs="Calibri"/>
          <w:b/>
          <w:color w:val="FF0000"/>
          <w:sz w:val="22"/>
          <w:szCs w:val="22"/>
        </w:rPr>
        <w:lastRenderedPageBreak/>
        <w:t xml:space="preserve">S1.3 </w:t>
      </w:r>
      <w:bookmarkEnd w:id="0"/>
      <w:proofErr w:type="spellStart"/>
      <w:r w:rsidR="00C311E3" w:rsidRPr="00C0535F">
        <w:rPr>
          <w:rFonts w:asciiTheme="majorHAnsi" w:hAnsiTheme="majorHAnsi" w:cs="Calibri"/>
          <w:b/>
          <w:sz w:val="22"/>
          <w:szCs w:val="22"/>
        </w:rPr>
        <w:t>Capreomycin</w:t>
      </w:r>
      <w:proofErr w:type="spellEnd"/>
      <w:r w:rsidR="00C311E3" w:rsidRPr="00C0535F">
        <w:rPr>
          <w:rFonts w:asciiTheme="majorHAnsi" w:hAnsiTheme="majorHAnsi" w:cs="Calibri"/>
          <w:b/>
          <w:sz w:val="22"/>
          <w:szCs w:val="22"/>
        </w:rPr>
        <w:t xml:space="preserve"> MICs</w:t>
      </w:r>
    </w:p>
    <w:p w14:paraId="56CFA393" w14:textId="5E459089" w:rsidR="00C311E3" w:rsidRPr="00C0535F" w:rsidRDefault="00C311E3" w:rsidP="005A5321">
      <w:pPr>
        <w:tabs>
          <w:tab w:val="left" w:pos="8505"/>
        </w:tabs>
        <w:spacing w:line="480" w:lineRule="auto"/>
        <w:jc w:val="both"/>
        <w:rPr>
          <w:rFonts w:asciiTheme="majorHAnsi" w:hAnsiTheme="majorHAnsi"/>
          <w:sz w:val="22"/>
          <w:szCs w:val="22"/>
        </w:rPr>
      </w:pPr>
      <w:r w:rsidRPr="00C0535F">
        <w:rPr>
          <w:rFonts w:asciiTheme="majorHAnsi" w:hAnsiTheme="majorHAnsi"/>
          <w:sz w:val="22"/>
          <w:szCs w:val="22"/>
        </w:rPr>
        <w:t xml:space="preserve">MIC testing against </w:t>
      </w:r>
      <w:proofErr w:type="spellStart"/>
      <w:r w:rsidRPr="00C0535F">
        <w:rPr>
          <w:rFonts w:asciiTheme="majorHAnsi" w:hAnsiTheme="majorHAnsi"/>
          <w:sz w:val="22"/>
          <w:szCs w:val="22"/>
        </w:rPr>
        <w:t>capreomycin</w:t>
      </w:r>
      <w:proofErr w:type="spellEnd"/>
      <w:r w:rsidRPr="00C0535F">
        <w:rPr>
          <w:rFonts w:asciiTheme="majorHAnsi" w:hAnsiTheme="majorHAnsi"/>
          <w:sz w:val="22"/>
          <w:szCs w:val="22"/>
        </w:rPr>
        <w:t xml:space="preserve"> was done using the MGIT 960 system with </w:t>
      </w:r>
      <w:proofErr w:type="spellStart"/>
      <w:r w:rsidRPr="00C0535F">
        <w:rPr>
          <w:rFonts w:asciiTheme="majorHAnsi" w:hAnsiTheme="majorHAnsi"/>
          <w:sz w:val="22"/>
          <w:szCs w:val="22"/>
        </w:rPr>
        <w:t>EpiCenter</w:t>
      </w:r>
      <w:proofErr w:type="spellEnd"/>
      <w:r w:rsidRPr="00C0535F">
        <w:rPr>
          <w:rFonts w:asciiTheme="majorHAnsi" w:hAnsiTheme="majorHAnsi"/>
          <w:sz w:val="22"/>
          <w:szCs w:val="22"/>
        </w:rPr>
        <w:t xml:space="preserve"> TB </w:t>
      </w:r>
      <w:proofErr w:type="spellStart"/>
      <w:r w:rsidRPr="00C0535F">
        <w:rPr>
          <w:rFonts w:asciiTheme="majorHAnsi" w:hAnsiTheme="majorHAnsi"/>
          <w:sz w:val="22"/>
          <w:szCs w:val="22"/>
        </w:rPr>
        <w:t>eXiST</w:t>
      </w:r>
      <w:proofErr w:type="spellEnd"/>
      <w:r w:rsidRPr="00C0535F">
        <w:rPr>
          <w:rFonts w:asciiTheme="majorHAnsi" w:hAnsiTheme="majorHAnsi"/>
          <w:sz w:val="22"/>
          <w:szCs w:val="22"/>
        </w:rPr>
        <w:t xml:space="preserve"> software on a subset of isolates which were susceptible to </w:t>
      </w:r>
      <w:proofErr w:type="spellStart"/>
      <w:r w:rsidRPr="00C0535F">
        <w:rPr>
          <w:rFonts w:asciiTheme="majorHAnsi" w:hAnsiTheme="majorHAnsi"/>
          <w:sz w:val="22"/>
          <w:szCs w:val="22"/>
        </w:rPr>
        <w:t>capreomycin</w:t>
      </w:r>
      <w:proofErr w:type="spellEnd"/>
      <w:r w:rsidRPr="00C0535F">
        <w:rPr>
          <w:rFonts w:asciiTheme="majorHAnsi" w:hAnsiTheme="majorHAnsi"/>
          <w:sz w:val="22"/>
          <w:szCs w:val="22"/>
        </w:rPr>
        <w:t xml:space="preserve"> according to the standard proportion method. Briefly, the isolates were tested against serial twofold dilutions of </w:t>
      </w:r>
      <w:proofErr w:type="spellStart"/>
      <w:r w:rsidRPr="00C0535F">
        <w:rPr>
          <w:rFonts w:asciiTheme="majorHAnsi" w:hAnsiTheme="majorHAnsi"/>
          <w:sz w:val="22"/>
          <w:szCs w:val="22"/>
        </w:rPr>
        <w:t>capreomycin</w:t>
      </w:r>
      <w:proofErr w:type="spellEnd"/>
      <w:r w:rsidRPr="00C0535F">
        <w:rPr>
          <w:rFonts w:asciiTheme="majorHAnsi" w:hAnsiTheme="majorHAnsi"/>
          <w:sz w:val="22"/>
          <w:szCs w:val="22"/>
        </w:rPr>
        <w:t xml:space="preserve"> ranging from 0.125 to 10 µg/ml. </w:t>
      </w:r>
      <w:r w:rsidRPr="00C0535F">
        <w:rPr>
          <w:rFonts w:asciiTheme="majorHAnsi" w:hAnsiTheme="majorHAnsi"/>
          <w:i/>
          <w:sz w:val="22"/>
          <w:szCs w:val="22"/>
        </w:rPr>
        <w:t>M. tuberculosis</w:t>
      </w:r>
      <w:r w:rsidRPr="00C0535F">
        <w:rPr>
          <w:rFonts w:asciiTheme="majorHAnsi" w:hAnsiTheme="majorHAnsi"/>
          <w:sz w:val="22"/>
          <w:szCs w:val="22"/>
        </w:rPr>
        <w:t xml:space="preserve"> strain H37Rv (ATCC 27294) was included as a </w:t>
      </w:r>
      <w:proofErr w:type="spellStart"/>
      <w:r w:rsidRPr="00C0535F">
        <w:rPr>
          <w:rFonts w:asciiTheme="majorHAnsi" w:hAnsiTheme="majorHAnsi"/>
          <w:sz w:val="22"/>
          <w:szCs w:val="22"/>
        </w:rPr>
        <w:t>capreomycin</w:t>
      </w:r>
      <w:proofErr w:type="spellEnd"/>
      <w:r w:rsidRPr="00C0535F">
        <w:rPr>
          <w:rFonts w:asciiTheme="majorHAnsi" w:hAnsiTheme="majorHAnsi"/>
          <w:sz w:val="22"/>
          <w:szCs w:val="22"/>
        </w:rPr>
        <w:t xml:space="preserve"> susceptible control. The MIC was defined as the lowest concentration of drug that inhibited more than 99% of the bacterial population, relative to the 1:100 diluted drug-free controls of the corresponding strains (1% proportional method). A critical concentration </w:t>
      </w:r>
      <w:proofErr w:type="gramStart"/>
      <w:r w:rsidRPr="00C0535F">
        <w:rPr>
          <w:rFonts w:asciiTheme="majorHAnsi" w:hAnsiTheme="majorHAnsi"/>
          <w:sz w:val="22"/>
          <w:szCs w:val="22"/>
        </w:rPr>
        <w:t>of 2.5 µg/ml</w:t>
      </w:r>
      <w:proofErr w:type="gramEnd"/>
      <w:r w:rsidRPr="00C0535F">
        <w:rPr>
          <w:rFonts w:asciiTheme="majorHAnsi" w:hAnsiTheme="majorHAnsi"/>
          <w:sz w:val="22"/>
          <w:szCs w:val="22"/>
        </w:rPr>
        <w:t xml:space="preserve"> was adopted to differentiate between </w:t>
      </w:r>
      <w:proofErr w:type="spellStart"/>
      <w:r w:rsidRPr="00C0535F">
        <w:rPr>
          <w:rFonts w:asciiTheme="majorHAnsi" w:hAnsiTheme="majorHAnsi"/>
          <w:sz w:val="22"/>
          <w:szCs w:val="22"/>
        </w:rPr>
        <w:t>capreomycin</w:t>
      </w:r>
      <w:proofErr w:type="spellEnd"/>
      <w:r w:rsidRPr="00C0535F">
        <w:rPr>
          <w:rFonts w:asciiTheme="majorHAnsi" w:hAnsiTheme="majorHAnsi"/>
          <w:sz w:val="22"/>
          <w:szCs w:val="22"/>
        </w:rPr>
        <w:t xml:space="preserve"> susceptible and resistant strains as suggested in previous publications </w:t>
      </w:r>
      <w:r w:rsidRPr="00C0535F">
        <w:rPr>
          <w:rFonts w:asciiTheme="majorHAnsi" w:hAnsiTheme="majorHAnsi"/>
          <w:sz w:val="22"/>
          <w:szCs w:val="22"/>
        </w:rPr>
        <w:fldChar w:fldCharType="begin">
          <w:fldData xml:space="preserve">PEVuZE5vdGU+PENpdGU+PEF1dGhvcj5TaXJnZWw8L0F1dGhvcj48WWVhcj4yMDEyPC9ZZWFyPjxS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</w:fldData>
        </w:fldChar>
      </w:r>
      <w:r w:rsidR="00E11843">
        <w:rPr>
          <w:rFonts w:asciiTheme="majorHAnsi" w:hAnsiTheme="majorHAnsi"/>
          <w:sz w:val="22"/>
          <w:szCs w:val="22"/>
        </w:rPr>
        <w:instrText xml:space="preserve"> ADDIN EN.CITE </w:instrText>
      </w:r>
      <w:r w:rsidR="00E11843">
        <w:rPr>
          <w:rFonts w:asciiTheme="majorHAnsi" w:hAnsiTheme="majorHAnsi"/>
          <w:sz w:val="22"/>
          <w:szCs w:val="22"/>
        </w:rPr>
        <w:fldChar w:fldCharType="begin">
          <w:fldData xml:space="preserve">PEVuZE5vdGU+PENpdGU+PEF1dGhvcj5TaXJnZWw8L0F1dGhvcj48WWVhcj4yMDEyPC9ZZWFyPjxS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</w:fldData>
        </w:fldChar>
      </w:r>
      <w:r w:rsidR="00E11843">
        <w:rPr>
          <w:rFonts w:asciiTheme="majorHAnsi" w:hAnsiTheme="majorHAnsi"/>
          <w:sz w:val="22"/>
          <w:szCs w:val="22"/>
        </w:rPr>
        <w:instrText xml:space="preserve"> ADDIN EN.CITE.DATA </w:instrText>
      </w:r>
      <w:r w:rsidR="00E11843">
        <w:rPr>
          <w:rFonts w:asciiTheme="majorHAnsi" w:hAnsiTheme="majorHAnsi"/>
          <w:sz w:val="22"/>
          <w:szCs w:val="22"/>
        </w:rPr>
      </w:r>
      <w:r w:rsidR="00E11843">
        <w:rPr>
          <w:rFonts w:asciiTheme="majorHAnsi" w:hAnsiTheme="majorHAnsi"/>
          <w:sz w:val="22"/>
          <w:szCs w:val="22"/>
        </w:rPr>
        <w:fldChar w:fldCharType="end"/>
      </w:r>
      <w:r w:rsidRPr="00C0535F">
        <w:rPr>
          <w:rFonts w:asciiTheme="majorHAnsi" w:hAnsiTheme="majorHAnsi"/>
          <w:sz w:val="22"/>
          <w:szCs w:val="22"/>
        </w:rPr>
      </w:r>
      <w:r w:rsidRPr="00C0535F">
        <w:rPr>
          <w:rFonts w:asciiTheme="majorHAnsi" w:hAnsiTheme="majorHAnsi"/>
          <w:sz w:val="22"/>
          <w:szCs w:val="22"/>
        </w:rPr>
        <w:fldChar w:fldCharType="separate"/>
      </w:r>
      <w:r w:rsidR="00E11843">
        <w:rPr>
          <w:rFonts w:asciiTheme="majorHAnsi" w:hAnsiTheme="majorHAnsi"/>
          <w:noProof/>
          <w:sz w:val="22"/>
          <w:szCs w:val="22"/>
        </w:rPr>
        <w:t>(1)</w:t>
      </w:r>
      <w:r w:rsidRPr="00C0535F">
        <w:rPr>
          <w:rFonts w:asciiTheme="majorHAnsi" w:hAnsiTheme="majorHAnsi"/>
          <w:sz w:val="22"/>
          <w:szCs w:val="22"/>
        </w:rPr>
        <w:fldChar w:fldCharType="end"/>
      </w:r>
      <w:r w:rsidRPr="00C0535F">
        <w:rPr>
          <w:rFonts w:asciiTheme="majorHAnsi" w:hAnsiTheme="majorHAnsi"/>
          <w:sz w:val="22"/>
          <w:szCs w:val="22"/>
        </w:rPr>
        <w:t xml:space="preserve">. A MIC equal to the critical concentration was reported as susceptible, while MICs ≥2.5 µg/ml was considered resistant </w:t>
      </w:r>
      <w:r w:rsidRPr="00C0535F">
        <w:rPr>
          <w:rFonts w:asciiTheme="majorHAnsi" w:hAnsiTheme="majorHAnsi"/>
          <w:sz w:val="22"/>
          <w:szCs w:val="22"/>
        </w:rPr>
        <w:fldChar w:fldCharType="begin"/>
      </w:r>
      <w:r w:rsidR="00E11843">
        <w:rPr>
          <w:rFonts w:asciiTheme="majorHAnsi" w:hAnsiTheme="majorHAnsi"/>
          <w:sz w:val="22"/>
          <w:szCs w:val="22"/>
        </w:rPr>
        <w:instrText xml:space="preserve"> ADDIN EN.CITE &lt;EndNote&gt;&lt;Cite&gt;&lt;Author&gt;Annonymous&lt;/Author&gt;&lt;Year&gt;2008&lt;/Year&gt;&lt;RecNum&gt;1780&lt;/RecNum&gt;&lt;DisplayText&gt;(2, 3)&lt;/DisplayText&gt;&lt;record&gt;&lt;rec-number&gt;1780&lt;/rec-number&gt;&lt;foreign-keys&gt;&lt;key app="EN" db-id="swp9szeznftfsjes09s505zyads0s52s5rdp" timestamp="1403809037"&gt;1780&lt;/key&gt;&lt;/foreign-keys&gt;&lt;ref-type name="Journal Article"&gt;17&lt;/ref-type&gt;&lt;contributors&gt;&lt;authors&gt;&lt;author&gt;Annonymous&lt;/author&gt;&lt;/authors&gt;&lt;/contributors&gt;&lt;titles&gt;&lt;title&gt;Capreomycin&lt;/title&gt;&lt;secondary-title&gt;Tuberculosis (Edinb)&lt;/secondary-title&gt;&lt;alt-title&gt;Tuberculosis&lt;/alt-title&gt;&lt;/titles&gt;&lt;periodical&gt;&lt;full-title&gt;Tuberculosis (Edinb)&lt;/full-title&gt;&lt;/periodical&gt;&lt;alt-periodical&gt;&lt;full-title&gt;Tuberculosis&lt;/full-title&gt;&lt;/alt-periodical&gt;&lt;pages&gt;89-91&lt;/pages&gt;&lt;volume&gt;88&lt;/volume&gt;&lt;number&gt;2&lt;/number&gt;&lt;keywords&gt;&lt;keyword&gt;Animals&lt;/keyword&gt;&lt;keyword&gt;Antitubercular Agents/chemistry/pharmacology/*therapeutic use&lt;/keyword&gt;&lt;keyword&gt;Capreomycin/chemistry/pharmacology/*therapeutic use&lt;/keyword&gt;&lt;keyword&gt;Humans&lt;/keyword&gt;&lt;keyword&gt;Mice&lt;/keyword&gt;&lt;keyword&gt;Treatment Outcome&lt;/keyword&gt;&lt;keyword&gt;Tuberculosis/*drug therapy/metabolism&lt;/keyword&gt;&lt;/keywords&gt;&lt;dates&gt;&lt;year&gt;2008&lt;/year&gt;&lt;pub-dates&gt;&lt;date&gt;Mar&lt;/date&gt;&lt;/pub-dates&gt;&lt;/dates&gt;&lt;isbn&gt;1472-9792 (Print)&amp;#xD;1472-9792 (Linking)&lt;/isbn&gt;&lt;accession-num&gt;18486038&lt;/accession-num&gt;&lt;urls&gt;&lt;related-urls&gt;&lt;url&gt;http://www.ncbi.nlm.nih.gov/pubmed/18486038&lt;/url&gt;&lt;/related-urls&gt;&lt;/urls&gt;&lt;electronic-resource-num&gt;10.1016/S1472-9792(08)70004-0&lt;/electronic-resource-num&gt;&lt;/record&gt;&lt;/Cite&gt;&lt;Cite&gt;&lt;Author&gt;WHO&lt;/Author&gt;&lt;Year&gt;2008&lt;/Year&gt;&lt;RecNum&gt;1610&lt;/RecNum&gt;&lt;record&gt;&lt;rec-number&gt;1610&lt;/rec-number&gt;&lt;foreign-keys&gt;&lt;key app="EN" db-id="swp9szeznftfsjes09s505zyads0s52s5rdp" timestamp="1367440058"&gt;1610&lt;/key&gt;&lt;/foreign-keys&gt;&lt;ref-type name="Report"&gt;27&lt;/ref-type&gt;&lt;contributors&gt;&lt;authors&gt;&lt;author&gt;WHO&lt;/author&gt;&lt;/authors&gt;&lt;/contributors&gt;&lt;titles&gt;&lt;title&gt;Policy guidance on drug-susceptibility testing (DST) of second-line antituberculosis drugs&lt;/title&gt;&lt;/titles&gt;&lt;dates&gt;&lt;year&gt;2008&lt;/year&gt;&lt;/dates&gt;&lt;pub-location&gt;Geneva&lt;/pub-location&gt;&lt;publisher&gt;WHO&lt;/publisher&gt;&lt;urls&gt;&lt;/urls&gt;&lt;/record&gt;&lt;/Cite&gt;&lt;/EndNote&gt;</w:instrText>
      </w:r>
      <w:r w:rsidRPr="00C0535F">
        <w:rPr>
          <w:rFonts w:asciiTheme="majorHAnsi" w:hAnsiTheme="majorHAnsi"/>
          <w:sz w:val="22"/>
          <w:szCs w:val="22"/>
        </w:rPr>
        <w:fldChar w:fldCharType="separate"/>
      </w:r>
      <w:r w:rsidR="00E11843">
        <w:rPr>
          <w:rFonts w:asciiTheme="majorHAnsi" w:hAnsiTheme="majorHAnsi"/>
          <w:noProof/>
          <w:sz w:val="22"/>
          <w:szCs w:val="22"/>
        </w:rPr>
        <w:t>(2, 3)</w:t>
      </w:r>
      <w:r w:rsidRPr="00C0535F">
        <w:rPr>
          <w:rFonts w:asciiTheme="majorHAnsi" w:hAnsiTheme="majorHAnsi"/>
          <w:sz w:val="22"/>
          <w:szCs w:val="22"/>
        </w:rPr>
        <w:fldChar w:fldCharType="end"/>
      </w:r>
      <w:r w:rsidRPr="00C0535F">
        <w:rPr>
          <w:rFonts w:asciiTheme="majorHAnsi" w:hAnsiTheme="majorHAnsi"/>
          <w:sz w:val="22"/>
          <w:szCs w:val="22"/>
        </w:rPr>
        <w:t xml:space="preserve">. </w:t>
      </w:r>
    </w:p>
    <w:p w14:paraId="76C3354F" w14:textId="77777777" w:rsidR="00C311E3" w:rsidRPr="00C0535F" w:rsidRDefault="00C311E3" w:rsidP="005A5321">
      <w:pPr>
        <w:spacing w:line="480" w:lineRule="auto"/>
        <w:jc w:val="both"/>
        <w:rPr>
          <w:rFonts w:asciiTheme="majorHAnsi" w:hAnsiTheme="majorHAnsi" w:cs="Calibri"/>
          <w:b/>
          <w:sz w:val="22"/>
          <w:szCs w:val="22"/>
        </w:rPr>
      </w:pPr>
    </w:p>
    <w:p w14:paraId="1D38A04D" w14:textId="1E71B044" w:rsidR="00875F68" w:rsidRPr="00C0535F" w:rsidRDefault="00C969E3" w:rsidP="005A5321">
      <w:pPr>
        <w:spacing w:line="480" w:lineRule="auto"/>
        <w:jc w:val="both"/>
        <w:rPr>
          <w:rFonts w:asciiTheme="majorHAnsi" w:hAnsiTheme="majorHAnsi" w:cs="Calibri"/>
          <w:b/>
          <w:sz w:val="22"/>
          <w:szCs w:val="22"/>
        </w:rPr>
      </w:pPr>
      <w:r w:rsidRPr="00C969E3">
        <w:rPr>
          <w:rFonts w:asciiTheme="majorHAnsi" w:hAnsiTheme="majorHAnsi" w:cs="Calibri"/>
          <w:b/>
          <w:color w:val="FF0000"/>
          <w:sz w:val="22"/>
          <w:szCs w:val="22"/>
        </w:rPr>
        <w:t xml:space="preserve">S1.4 </w:t>
      </w:r>
      <w:r w:rsidR="00875F68" w:rsidRPr="00C0535F">
        <w:rPr>
          <w:rFonts w:asciiTheme="majorHAnsi" w:hAnsiTheme="majorHAnsi" w:cs="Calibri"/>
          <w:b/>
          <w:sz w:val="22"/>
          <w:szCs w:val="22"/>
        </w:rPr>
        <w:t xml:space="preserve">Statistical analysis </w:t>
      </w:r>
    </w:p>
    <w:p w14:paraId="206A5F79" w14:textId="30967DEA" w:rsidR="00875F68" w:rsidRPr="00C0535F" w:rsidRDefault="00875F68" w:rsidP="005A5321">
      <w:pPr>
        <w:spacing w:line="480" w:lineRule="auto"/>
        <w:jc w:val="both"/>
        <w:rPr>
          <w:rFonts w:asciiTheme="majorHAnsi" w:hAnsiTheme="majorHAnsi" w:cs="Calibri"/>
          <w:sz w:val="22"/>
          <w:szCs w:val="22"/>
        </w:rPr>
      </w:pPr>
      <w:r w:rsidRPr="00C0535F">
        <w:rPr>
          <w:rFonts w:asciiTheme="majorHAnsi" w:hAnsiTheme="majorHAnsi" w:cs="Calibri"/>
          <w:sz w:val="22"/>
          <w:szCs w:val="22"/>
        </w:rPr>
        <w:t xml:space="preserve">A risk management strategy for data, including double data entry, was used to ensure the integrity of the data. Descriptive statistics were used for the demographic and clinical characteristics of the study population. The genotyped study population was compared with overall XDR-TB cohort to ensure that the sample was representative. We compared categorical variables by use of the </w:t>
      </w:r>
      <w:r w:rsidRPr="00C0535F">
        <w:rPr>
          <w:rFonts w:asciiTheme="majorHAnsi" w:hAnsiTheme="majorHAnsi" w:cs="Calibri"/>
          <w:sz w:val="22"/>
          <w:szCs w:val="22"/>
        </w:rPr>
        <w:sym w:font="Symbol" w:char="F063"/>
      </w:r>
      <w:r w:rsidRPr="00C0535F">
        <w:rPr>
          <w:rFonts w:asciiTheme="majorHAnsi" w:hAnsiTheme="majorHAnsi" w:cs="Calibri"/>
          <w:sz w:val="22"/>
          <w:szCs w:val="22"/>
          <w:vertAlign w:val="superscript"/>
        </w:rPr>
        <w:t xml:space="preserve">2 </w:t>
      </w:r>
      <w:r w:rsidRPr="00C0535F">
        <w:rPr>
          <w:rFonts w:asciiTheme="majorHAnsi" w:hAnsiTheme="majorHAnsi" w:cs="Calibri"/>
          <w:sz w:val="22"/>
          <w:szCs w:val="22"/>
        </w:rPr>
        <w:t xml:space="preserve">or Fisher exact test where appropriate, and we compared continuous variables, because of the non-normal distribution of the analysed variables, using the Mann-Whitney U or </w:t>
      </w:r>
      <w:proofErr w:type="spellStart"/>
      <w:r w:rsidRPr="00C0535F">
        <w:rPr>
          <w:rFonts w:asciiTheme="majorHAnsi" w:hAnsiTheme="majorHAnsi" w:cs="Calibri"/>
          <w:sz w:val="22"/>
          <w:szCs w:val="22"/>
        </w:rPr>
        <w:t>Kruskal</w:t>
      </w:r>
      <w:proofErr w:type="spellEnd"/>
      <w:r w:rsidRPr="00C0535F">
        <w:rPr>
          <w:rFonts w:asciiTheme="majorHAnsi" w:hAnsiTheme="majorHAnsi" w:cs="Calibri"/>
          <w:sz w:val="22"/>
          <w:szCs w:val="22"/>
        </w:rPr>
        <w:t xml:space="preserve">-Wallis tests. Univariate and multivariate logistic regression analysis was used to control for confounding and identify associates of </w:t>
      </w:r>
      <w:proofErr w:type="spellStart"/>
      <w:r w:rsidRPr="00C0535F">
        <w:rPr>
          <w:rFonts w:asciiTheme="majorHAnsi" w:hAnsiTheme="majorHAnsi" w:cs="Calibri"/>
          <w:sz w:val="22"/>
          <w:szCs w:val="22"/>
        </w:rPr>
        <w:t>capreomycin</w:t>
      </w:r>
      <w:proofErr w:type="spellEnd"/>
      <w:r w:rsidRPr="00C0535F">
        <w:rPr>
          <w:rFonts w:asciiTheme="majorHAnsi" w:hAnsiTheme="majorHAnsi" w:cs="Calibri"/>
          <w:sz w:val="22"/>
          <w:szCs w:val="22"/>
        </w:rPr>
        <w:t xml:space="preserve"> genotypic resistance, XDR-TB mortality and sputum culture conversion. All statistical tests were 2-sided at </w:t>
      </w:r>
      <w:r w:rsidRPr="00C0535F">
        <w:rPr>
          <w:rFonts w:asciiTheme="majorHAnsi" w:hAnsiTheme="majorHAnsi" w:cs="Calibri"/>
          <w:sz w:val="22"/>
          <w:szCs w:val="22"/>
        </w:rPr>
        <w:sym w:font="Symbol" w:char="F061"/>
      </w:r>
      <w:r w:rsidRPr="00C0535F">
        <w:rPr>
          <w:rFonts w:asciiTheme="majorHAnsi" w:hAnsiTheme="majorHAnsi" w:cs="Calibri"/>
          <w:sz w:val="22"/>
          <w:szCs w:val="22"/>
        </w:rPr>
        <w:t>=0.05. STATA IC, version 1</w:t>
      </w:r>
      <w:r w:rsidR="00A37164">
        <w:rPr>
          <w:rFonts w:asciiTheme="majorHAnsi" w:hAnsiTheme="majorHAnsi" w:cs="Calibri"/>
          <w:sz w:val="22"/>
          <w:szCs w:val="22"/>
        </w:rPr>
        <w:t>1</w:t>
      </w:r>
      <w:r w:rsidRPr="00C0535F">
        <w:rPr>
          <w:rFonts w:asciiTheme="majorHAnsi" w:hAnsiTheme="majorHAnsi" w:cs="Calibri"/>
          <w:sz w:val="22"/>
          <w:szCs w:val="22"/>
        </w:rPr>
        <w:t xml:space="preserve"> (Stata Corp, Texas, USA) was used for all statistical analyses. </w:t>
      </w:r>
    </w:p>
    <w:p w14:paraId="12788512" w14:textId="77777777" w:rsidR="005C5187" w:rsidRPr="00C0535F" w:rsidRDefault="005C5187" w:rsidP="005A5321">
      <w:pPr>
        <w:jc w:val="both"/>
        <w:rPr>
          <w:rFonts w:asciiTheme="majorHAnsi" w:hAnsiTheme="majorHAnsi" w:cs="Calibri"/>
          <w:sz w:val="22"/>
          <w:szCs w:val="22"/>
        </w:rPr>
      </w:pPr>
    </w:p>
    <w:p w14:paraId="3495B3B8" w14:textId="77777777" w:rsidR="00211D7E" w:rsidRDefault="005C5187" w:rsidP="005A5321">
      <w:pPr>
        <w:tabs>
          <w:tab w:val="left" w:pos="1667"/>
        </w:tabs>
        <w:jc w:val="both"/>
        <w:rPr>
          <w:rFonts w:ascii="Calibri" w:hAnsi="Calibri" w:cs="Calibri"/>
        </w:rPr>
      </w:pPr>
      <w:r>
        <w:rPr>
          <w:rFonts w:ascii="Calibri" w:hAnsi="Calibri" w:cs="Calibri"/>
        </w:rPr>
        <w:tab/>
      </w:r>
    </w:p>
    <w:p w14:paraId="3FA04568" w14:textId="77777777" w:rsidR="00E11843" w:rsidRDefault="00E11843" w:rsidP="00532B0A">
      <w:pPr>
        <w:tabs>
          <w:tab w:val="left" w:pos="1667"/>
        </w:tabs>
        <w:rPr>
          <w:rFonts w:ascii="Calibri" w:hAnsi="Calibri" w:cs="Calibri"/>
        </w:rPr>
      </w:pPr>
    </w:p>
    <w:p w14:paraId="13F4710C" w14:textId="0F4B38A1" w:rsidR="005C5187" w:rsidRDefault="005C5187" w:rsidP="00532B0A">
      <w:pPr>
        <w:tabs>
          <w:tab w:val="left" w:pos="1667"/>
        </w:tabs>
        <w:rPr>
          <w:rFonts w:ascii="Calibri" w:hAnsi="Calibri" w:cs="Calibri"/>
        </w:rPr>
      </w:pPr>
    </w:p>
    <w:sectPr w:rsidR="005C5187" w:rsidSect="00B5191D">
      <w:footerReference w:type="default" r:id="rId9"/>
      <w:pgSz w:w="12240" w:h="15840" w:code="1"/>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F7F9D" w14:textId="77777777" w:rsidR="008B57FA" w:rsidRDefault="008B57FA" w:rsidP="00771FFB">
      <w:r>
        <w:separator/>
      </w:r>
    </w:p>
  </w:endnote>
  <w:endnote w:type="continuationSeparator" w:id="0">
    <w:p w14:paraId="0526EDA3" w14:textId="77777777" w:rsidR="008B57FA" w:rsidRDefault="008B57FA" w:rsidP="0077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Shaker2Lancet-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aker2Lancet-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FA63" w14:textId="77777777" w:rsidR="00AA067A" w:rsidRDefault="00AA0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AB8D9" w14:textId="77777777" w:rsidR="008B57FA" w:rsidRDefault="008B57FA" w:rsidP="00771FFB">
      <w:r>
        <w:separator/>
      </w:r>
    </w:p>
  </w:footnote>
  <w:footnote w:type="continuationSeparator" w:id="0">
    <w:p w14:paraId="49F0AA42" w14:textId="77777777" w:rsidR="008B57FA" w:rsidRDefault="008B57FA" w:rsidP="00771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FC0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B775D"/>
    <w:multiLevelType w:val="hybridMultilevel"/>
    <w:tmpl w:val="C15A4302"/>
    <w:lvl w:ilvl="0" w:tplc="55DAFE9E">
      <w:start w:val="2"/>
      <w:numFmt w:val="bullet"/>
      <w:lvlText w:val=""/>
      <w:lvlJc w:val="left"/>
      <w:pPr>
        <w:ind w:left="720" w:hanging="360"/>
      </w:pPr>
      <w:rPr>
        <w:rFonts w:ascii="Symbol" w:eastAsia="MS Mincho" w:hAnsi="Symbol"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C2C5C25"/>
    <w:multiLevelType w:val="hybridMultilevel"/>
    <w:tmpl w:val="81565F2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66166A2"/>
    <w:multiLevelType w:val="hybridMultilevel"/>
    <w:tmpl w:val="0818F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139D6"/>
    <w:multiLevelType w:val="hybridMultilevel"/>
    <w:tmpl w:val="0212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A38BE"/>
    <w:multiLevelType w:val="hybridMultilevel"/>
    <w:tmpl w:val="CB9E1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57BA6"/>
    <w:multiLevelType w:val="hybridMultilevel"/>
    <w:tmpl w:val="9A94B28A"/>
    <w:lvl w:ilvl="0" w:tplc="047EAC68">
      <w:start w:val="1401"/>
      <w:numFmt w:val="bullet"/>
      <w:lvlText w:val=""/>
      <w:lvlJc w:val="left"/>
      <w:pPr>
        <w:ind w:left="720" w:hanging="360"/>
      </w:pPr>
      <w:rPr>
        <w:rFonts w:ascii="Symbol" w:eastAsia="MS Mincho"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B2102"/>
    <w:rsid w:val="00001CC2"/>
    <w:rsid w:val="00004F18"/>
    <w:rsid w:val="00010648"/>
    <w:rsid w:val="0001295A"/>
    <w:rsid w:val="00014536"/>
    <w:rsid w:val="00020C2A"/>
    <w:rsid w:val="000248C7"/>
    <w:rsid w:val="0002569A"/>
    <w:rsid w:val="00025CB6"/>
    <w:rsid w:val="0003324B"/>
    <w:rsid w:val="00034627"/>
    <w:rsid w:val="000355B5"/>
    <w:rsid w:val="00041298"/>
    <w:rsid w:val="00042C38"/>
    <w:rsid w:val="00044EFB"/>
    <w:rsid w:val="00045C32"/>
    <w:rsid w:val="0005002D"/>
    <w:rsid w:val="00052CC0"/>
    <w:rsid w:val="0005341E"/>
    <w:rsid w:val="00053914"/>
    <w:rsid w:val="000544C9"/>
    <w:rsid w:val="00054B02"/>
    <w:rsid w:val="00054BFD"/>
    <w:rsid w:val="000559C3"/>
    <w:rsid w:val="00056165"/>
    <w:rsid w:val="00056396"/>
    <w:rsid w:val="00060DD0"/>
    <w:rsid w:val="00061676"/>
    <w:rsid w:val="00063481"/>
    <w:rsid w:val="00064207"/>
    <w:rsid w:val="0006509B"/>
    <w:rsid w:val="00065817"/>
    <w:rsid w:val="000661E4"/>
    <w:rsid w:val="000707AE"/>
    <w:rsid w:val="000711F6"/>
    <w:rsid w:val="00074511"/>
    <w:rsid w:val="00083DBB"/>
    <w:rsid w:val="00083EAF"/>
    <w:rsid w:val="00084DCB"/>
    <w:rsid w:val="0008554E"/>
    <w:rsid w:val="00085562"/>
    <w:rsid w:val="0009064C"/>
    <w:rsid w:val="0009173E"/>
    <w:rsid w:val="00092099"/>
    <w:rsid w:val="00095948"/>
    <w:rsid w:val="00096C12"/>
    <w:rsid w:val="00097F2F"/>
    <w:rsid w:val="000A0D3C"/>
    <w:rsid w:val="000A1305"/>
    <w:rsid w:val="000A1384"/>
    <w:rsid w:val="000A1787"/>
    <w:rsid w:val="000A1987"/>
    <w:rsid w:val="000A1DDF"/>
    <w:rsid w:val="000A3631"/>
    <w:rsid w:val="000A4D3D"/>
    <w:rsid w:val="000A59D7"/>
    <w:rsid w:val="000B308D"/>
    <w:rsid w:val="000B7AE6"/>
    <w:rsid w:val="000C337F"/>
    <w:rsid w:val="000C484E"/>
    <w:rsid w:val="000C52D9"/>
    <w:rsid w:val="000C5308"/>
    <w:rsid w:val="000D267A"/>
    <w:rsid w:val="000D5D4B"/>
    <w:rsid w:val="000D613D"/>
    <w:rsid w:val="000D67D1"/>
    <w:rsid w:val="000E3C15"/>
    <w:rsid w:val="000E402E"/>
    <w:rsid w:val="000E68B0"/>
    <w:rsid w:val="000E6D99"/>
    <w:rsid w:val="000E71E1"/>
    <w:rsid w:val="000F0CAA"/>
    <w:rsid w:val="000F10A4"/>
    <w:rsid w:val="000F478D"/>
    <w:rsid w:val="00105AB9"/>
    <w:rsid w:val="00105B81"/>
    <w:rsid w:val="0010628D"/>
    <w:rsid w:val="00106F29"/>
    <w:rsid w:val="00107AAE"/>
    <w:rsid w:val="001112A5"/>
    <w:rsid w:val="00112C2F"/>
    <w:rsid w:val="00115650"/>
    <w:rsid w:val="001158F6"/>
    <w:rsid w:val="00117788"/>
    <w:rsid w:val="0011781C"/>
    <w:rsid w:val="00124E98"/>
    <w:rsid w:val="00125382"/>
    <w:rsid w:val="00126F26"/>
    <w:rsid w:val="00127FB8"/>
    <w:rsid w:val="00130A9E"/>
    <w:rsid w:val="0013125B"/>
    <w:rsid w:val="001332E3"/>
    <w:rsid w:val="00133F47"/>
    <w:rsid w:val="001405A2"/>
    <w:rsid w:val="00141CCE"/>
    <w:rsid w:val="00143E38"/>
    <w:rsid w:val="001456F1"/>
    <w:rsid w:val="001476C9"/>
    <w:rsid w:val="00154E00"/>
    <w:rsid w:val="00160FC7"/>
    <w:rsid w:val="00164BAF"/>
    <w:rsid w:val="00170115"/>
    <w:rsid w:val="00172236"/>
    <w:rsid w:val="001722F1"/>
    <w:rsid w:val="001748A5"/>
    <w:rsid w:val="00174B33"/>
    <w:rsid w:val="001762C0"/>
    <w:rsid w:val="001774E1"/>
    <w:rsid w:val="00185281"/>
    <w:rsid w:val="00196C09"/>
    <w:rsid w:val="0019742B"/>
    <w:rsid w:val="001A0835"/>
    <w:rsid w:val="001A1368"/>
    <w:rsid w:val="001A3F0D"/>
    <w:rsid w:val="001A78DB"/>
    <w:rsid w:val="001B057B"/>
    <w:rsid w:val="001B20D2"/>
    <w:rsid w:val="001B3BD6"/>
    <w:rsid w:val="001B63B5"/>
    <w:rsid w:val="001C0A87"/>
    <w:rsid w:val="001C2019"/>
    <w:rsid w:val="001C4267"/>
    <w:rsid w:val="001C5A46"/>
    <w:rsid w:val="001D1E07"/>
    <w:rsid w:val="001D3FF6"/>
    <w:rsid w:val="001E11DA"/>
    <w:rsid w:val="001E2115"/>
    <w:rsid w:val="001E2544"/>
    <w:rsid w:val="001E4307"/>
    <w:rsid w:val="001E4F2B"/>
    <w:rsid w:val="001E7D75"/>
    <w:rsid w:val="001F2C71"/>
    <w:rsid w:val="001F6766"/>
    <w:rsid w:val="001F7A65"/>
    <w:rsid w:val="002005EF"/>
    <w:rsid w:val="0020213A"/>
    <w:rsid w:val="00204E79"/>
    <w:rsid w:val="00211D7E"/>
    <w:rsid w:val="0021324E"/>
    <w:rsid w:val="00213D49"/>
    <w:rsid w:val="00217467"/>
    <w:rsid w:val="00222618"/>
    <w:rsid w:val="00223406"/>
    <w:rsid w:val="00223F60"/>
    <w:rsid w:val="00225493"/>
    <w:rsid w:val="002267FF"/>
    <w:rsid w:val="0023674B"/>
    <w:rsid w:val="002373D8"/>
    <w:rsid w:val="002416FF"/>
    <w:rsid w:val="0024432B"/>
    <w:rsid w:val="00245E38"/>
    <w:rsid w:val="002472A1"/>
    <w:rsid w:val="00247B75"/>
    <w:rsid w:val="00251F63"/>
    <w:rsid w:val="00253147"/>
    <w:rsid w:val="00255F5D"/>
    <w:rsid w:val="00256591"/>
    <w:rsid w:val="00262CDF"/>
    <w:rsid w:val="0026533A"/>
    <w:rsid w:val="0026633C"/>
    <w:rsid w:val="00266CE7"/>
    <w:rsid w:val="002704CD"/>
    <w:rsid w:val="00270D06"/>
    <w:rsid w:val="00270D5E"/>
    <w:rsid w:val="00271AB4"/>
    <w:rsid w:val="00273D83"/>
    <w:rsid w:val="00274553"/>
    <w:rsid w:val="0027469F"/>
    <w:rsid w:val="002757F4"/>
    <w:rsid w:val="00280CFE"/>
    <w:rsid w:val="002846F6"/>
    <w:rsid w:val="00285C5D"/>
    <w:rsid w:val="00286613"/>
    <w:rsid w:val="00287534"/>
    <w:rsid w:val="00287B71"/>
    <w:rsid w:val="00287C30"/>
    <w:rsid w:val="00292052"/>
    <w:rsid w:val="0029255C"/>
    <w:rsid w:val="00294EC7"/>
    <w:rsid w:val="00296733"/>
    <w:rsid w:val="00296AD0"/>
    <w:rsid w:val="002A27A8"/>
    <w:rsid w:val="002A3538"/>
    <w:rsid w:val="002A5051"/>
    <w:rsid w:val="002A6EFE"/>
    <w:rsid w:val="002A6F2F"/>
    <w:rsid w:val="002B10D6"/>
    <w:rsid w:val="002B5D89"/>
    <w:rsid w:val="002C299C"/>
    <w:rsid w:val="002C43D0"/>
    <w:rsid w:val="002C4479"/>
    <w:rsid w:val="002C524B"/>
    <w:rsid w:val="002D03D8"/>
    <w:rsid w:val="002D1BDC"/>
    <w:rsid w:val="002D1CCB"/>
    <w:rsid w:val="002D414C"/>
    <w:rsid w:val="002D6648"/>
    <w:rsid w:val="002D6D88"/>
    <w:rsid w:val="002E1A05"/>
    <w:rsid w:val="002E2924"/>
    <w:rsid w:val="002F214F"/>
    <w:rsid w:val="002F2828"/>
    <w:rsid w:val="002F2B31"/>
    <w:rsid w:val="002F3150"/>
    <w:rsid w:val="002F4302"/>
    <w:rsid w:val="002F795D"/>
    <w:rsid w:val="00301A7E"/>
    <w:rsid w:val="00303E7D"/>
    <w:rsid w:val="00303F7E"/>
    <w:rsid w:val="003058AE"/>
    <w:rsid w:val="00305DDF"/>
    <w:rsid w:val="00307A7A"/>
    <w:rsid w:val="003118DC"/>
    <w:rsid w:val="00317BA7"/>
    <w:rsid w:val="0032181D"/>
    <w:rsid w:val="003219AC"/>
    <w:rsid w:val="00321DA1"/>
    <w:rsid w:val="00335A07"/>
    <w:rsid w:val="00343C18"/>
    <w:rsid w:val="003473CE"/>
    <w:rsid w:val="0035219A"/>
    <w:rsid w:val="0035361A"/>
    <w:rsid w:val="00356E09"/>
    <w:rsid w:val="0035717B"/>
    <w:rsid w:val="003608D4"/>
    <w:rsid w:val="00365772"/>
    <w:rsid w:val="0037201C"/>
    <w:rsid w:val="0038131E"/>
    <w:rsid w:val="00383D40"/>
    <w:rsid w:val="00383DAD"/>
    <w:rsid w:val="00384EFC"/>
    <w:rsid w:val="0038744B"/>
    <w:rsid w:val="0039281A"/>
    <w:rsid w:val="0039594F"/>
    <w:rsid w:val="00396BB8"/>
    <w:rsid w:val="003A0FF4"/>
    <w:rsid w:val="003A11D4"/>
    <w:rsid w:val="003A14C6"/>
    <w:rsid w:val="003A3A6C"/>
    <w:rsid w:val="003A69D8"/>
    <w:rsid w:val="003A7146"/>
    <w:rsid w:val="003B0F04"/>
    <w:rsid w:val="003B1BFE"/>
    <w:rsid w:val="003B2102"/>
    <w:rsid w:val="003B51CE"/>
    <w:rsid w:val="003C2394"/>
    <w:rsid w:val="003C2BEF"/>
    <w:rsid w:val="003C5827"/>
    <w:rsid w:val="003C5B55"/>
    <w:rsid w:val="003D003B"/>
    <w:rsid w:val="003D10C3"/>
    <w:rsid w:val="003D6717"/>
    <w:rsid w:val="003D67C7"/>
    <w:rsid w:val="003E1A37"/>
    <w:rsid w:val="003E489A"/>
    <w:rsid w:val="003E5091"/>
    <w:rsid w:val="003F1F5D"/>
    <w:rsid w:val="003F2EA9"/>
    <w:rsid w:val="003F576F"/>
    <w:rsid w:val="00400644"/>
    <w:rsid w:val="00401BF6"/>
    <w:rsid w:val="004052B1"/>
    <w:rsid w:val="00405E90"/>
    <w:rsid w:val="004069D2"/>
    <w:rsid w:val="00406A91"/>
    <w:rsid w:val="00407013"/>
    <w:rsid w:val="004103A9"/>
    <w:rsid w:val="00410E90"/>
    <w:rsid w:val="0041117D"/>
    <w:rsid w:val="00411638"/>
    <w:rsid w:val="00411E78"/>
    <w:rsid w:val="004143B2"/>
    <w:rsid w:val="0042026A"/>
    <w:rsid w:val="004210B0"/>
    <w:rsid w:val="00422831"/>
    <w:rsid w:val="00422898"/>
    <w:rsid w:val="004329C8"/>
    <w:rsid w:val="0043388D"/>
    <w:rsid w:val="0043421A"/>
    <w:rsid w:val="00440F19"/>
    <w:rsid w:val="00441B33"/>
    <w:rsid w:val="00442533"/>
    <w:rsid w:val="0044404A"/>
    <w:rsid w:val="004440BC"/>
    <w:rsid w:val="0044518C"/>
    <w:rsid w:val="00450370"/>
    <w:rsid w:val="00450658"/>
    <w:rsid w:val="00451F7A"/>
    <w:rsid w:val="004529EF"/>
    <w:rsid w:val="00453FA0"/>
    <w:rsid w:val="00455003"/>
    <w:rsid w:val="0045681D"/>
    <w:rsid w:val="00456D09"/>
    <w:rsid w:val="00460589"/>
    <w:rsid w:val="0046326B"/>
    <w:rsid w:val="004648A1"/>
    <w:rsid w:val="00465BA7"/>
    <w:rsid w:val="00467EB7"/>
    <w:rsid w:val="004728A4"/>
    <w:rsid w:val="00475128"/>
    <w:rsid w:val="00477C17"/>
    <w:rsid w:val="00480E3E"/>
    <w:rsid w:val="00482067"/>
    <w:rsid w:val="00483A09"/>
    <w:rsid w:val="004872DA"/>
    <w:rsid w:val="004916AE"/>
    <w:rsid w:val="004979A3"/>
    <w:rsid w:val="004A3395"/>
    <w:rsid w:val="004A3539"/>
    <w:rsid w:val="004A7AB1"/>
    <w:rsid w:val="004B06FF"/>
    <w:rsid w:val="004B12AB"/>
    <w:rsid w:val="004B1E28"/>
    <w:rsid w:val="004B3F27"/>
    <w:rsid w:val="004B582A"/>
    <w:rsid w:val="004B6E97"/>
    <w:rsid w:val="004C4640"/>
    <w:rsid w:val="004C4BFC"/>
    <w:rsid w:val="004C5012"/>
    <w:rsid w:val="004D4A72"/>
    <w:rsid w:val="004E4C12"/>
    <w:rsid w:val="004E512B"/>
    <w:rsid w:val="004F46AD"/>
    <w:rsid w:val="004F4FB9"/>
    <w:rsid w:val="004F5810"/>
    <w:rsid w:val="004F78EB"/>
    <w:rsid w:val="005002B9"/>
    <w:rsid w:val="00502F8A"/>
    <w:rsid w:val="005039B9"/>
    <w:rsid w:val="00503CEE"/>
    <w:rsid w:val="005066CA"/>
    <w:rsid w:val="00506748"/>
    <w:rsid w:val="00513181"/>
    <w:rsid w:val="00513966"/>
    <w:rsid w:val="00521364"/>
    <w:rsid w:val="0052180B"/>
    <w:rsid w:val="00523907"/>
    <w:rsid w:val="005252C4"/>
    <w:rsid w:val="0052622C"/>
    <w:rsid w:val="0052669F"/>
    <w:rsid w:val="00526B1A"/>
    <w:rsid w:val="00526C29"/>
    <w:rsid w:val="005271FE"/>
    <w:rsid w:val="00531442"/>
    <w:rsid w:val="00532B0A"/>
    <w:rsid w:val="005350CB"/>
    <w:rsid w:val="005364DD"/>
    <w:rsid w:val="00537647"/>
    <w:rsid w:val="0054472B"/>
    <w:rsid w:val="00547AD7"/>
    <w:rsid w:val="00550E6A"/>
    <w:rsid w:val="00552484"/>
    <w:rsid w:val="00552916"/>
    <w:rsid w:val="00555656"/>
    <w:rsid w:val="00556C20"/>
    <w:rsid w:val="00564BEA"/>
    <w:rsid w:val="00570778"/>
    <w:rsid w:val="00570933"/>
    <w:rsid w:val="00572465"/>
    <w:rsid w:val="005730FD"/>
    <w:rsid w:val="00575954"/>
    <w:rsid w:val="005776EF"/>
    <w:rsid w:val="00580BCF"/>
    <w:rsid w:val="0058206F"/>
    <w:rsid w:val="00587856"/>
    <w:rsid w:val="00590917"/>
    <w:rsid w:val="0059236A"/>
    <w:rsid w:val="005A088F"/>
    <w:rsid w:val="005A130A"/>
    <w:rsid w:val="005A5321"/>
    <w:rsid w:val="005B00C9"/>
    <w:rsid w:val="005B413F"/>
    <w:rsid w:val="005B5A58"/>
    <w:rsid w:val="005B7F20"/>
    <w:rsid w:val="005C0DB1"/>
    <w:rsid w:val="005C4BFF"/>
    <w:rsid w:val="005C5187"/>
    <w:rsid w:val="005C6A1E"/>
    <w:rsid w:val="005C74AE"/>
    <w:rsid w:val="005D3127"/>
    <w:rsid w:val="005E1AB1"/>
    <w:rsid w:val="005E6E61"/>
    <w:rsid w:val="005F64A4"/>
    <w:rsid w:val="0060081E"/>
    <w:rsid w:val="006056C3"/>
    <w:rsid w:val="00612A4D"/>
    <w:rsid w:val="00612D69"/>
    <w:rsid w:val="006130C1"/>
    <w:rsid w:val="006135FD"/>
    <w:rsid w:val="00613D92"/>
    <w:rsid w:val="00614B03"/>
    <w:rsid w:val="00616130"/>
    <w:rsid w:val="006166D9"/>
    <w:rsid w:val="00617142"/>
    <w:rsid w:val="00617AC8"/>
    <w:rsid w:val="0062180B"/>
    <w:rsid w:val="00621960"/>
    <w:rsid w:val="00624680"/>
    <w:rsid w:val="006247ED"/>
    <w:rsid w:val="00624CF7"/>
    <w:rsid w:val="0063265B"/>
    <w:rsid w:val="00634A28"/>
    <w:rsid w:val="00634C02"/>
    <w:rsid w:val="00637611"/>
    <w:rsid w:val="00637FA3"/>
    <w:rsid w:val="00641032"/>
    <w:rsid w:val="006428B8"/>
    <w:rsid w:val="00644C3A"/>
    <w:rsid w:val="00645F2C"/>
    <w:rsid w:val="00646096"/>
    <w:rsid w:val="00646A37"/>
    <w:rsid w:val="00651A5E"/>
    <w:rsid w:val="00654B32"/>
    <w:rsid w:val="00660554"/>
    <w:rsid w:val="00664197"/>
    <w:rsid w:val="00664331"/>
    <w:rsid w:val="00667E1C"/>
    <w:rsid w:val="00673A66"/>
    <w:rsid w:val="00674C58"/>
    <w:rsid w:val="006757B1"/>
    <w:rsid w:val="00675E68"/>
    <w:rsid w:val="006810C2"/>
    <w:rsid w:val="00682FA8"/>
    <w:rsid w:val="00683DE3"/>
    <w:rsid w:val="00684DAA"/>
    <w:rsid w:val="00686BD9"/>
    <w:rsid w:val="00686C33"/>
    <w:rsid w:val="00692C72"/>
    <w:rsid w:val="00693928"/>
    <w:rsid w:val="0069544B"/>
    <w:rsid w:val="006A0B83"/>
    <w:rsid w:val="006A0C6B"/>
    <w:rsid w:val="006A47E1"/>
    <w:rsid w:val="006A581D"/>
    <w:rsid w:val="006A7829"/>
    <w:rsid w:val="006A7DBD"/>
    <w:rsid w:val="006B1962"/>
    <w:rsid w:val="006B1D0C"/>
    <w:rsid w:val="006B68C1"/>
    <w:rsid w:val="006B713F"/>
    <w:rsid w:val="006C0022"/>
    <w:rsid w:val="006C53FA"/>
    <w:rsid w:val="006C6FAA"/>
    <w:rsid w:val="006C7BA8"/>
    <w:rsid w:val="006C7E34"/>
    <w:rsid w:val="006D060A"/>
    <w:rsid w:val="006D2D06"/>
    <w:rsid w:val="006D5282"/>
    <w:rsid w:val="006D5CBC"/>
    <w:rsid w:val="006E2B7A"/>
    <w:rsid w:val="006E3E2E"/>
    <w:rsid w:val="006E4EAD"/>
    <w:rsid w:val="006E51D8"/>
    <w:rsid w:val="006F2A85"/>
    <w:rsid w:val="006F43F7"/>
    <w:rsid w:val="006F4AD1"/>
    <w:rsid w:val="00701901"/>
    <w:rsid w:val="0070500C"/>
    <w:rsid w:val="00711A42"/>
    <w:rsid w:val="00715181"/>
    <w:rsid w:val="0072109B"/>
    <w:rsid w:val="007226F1"/>
    <w:rsid w:val="00724C46"/>
    <w:rsid w:val="0072755B"/>
    <w:rsid w:val="00731C4A"/>
    <w:rsid w:val="00741EC4"/>
    <w:rsid w:val="00744A74"/>
    <w:rsid w:val="00750EFE"/>
    <w:rsid w:val="0075199E"/>
    <w:rsid w:val="00753A27"/>
    <w:rsid w:val="00760F03"/>
    <w:rsid w:val="0076332B"/>
    <w:rsid w:val="00763823"/>
    <w:rsid w:val="00765D4F"/>
    <w:rsid w:val="00766FA7"/>
    <w:rsid w:val="00767C3B"/>
    <w:rsid w:val="00771FFB"/>
    <w:rsid w:val="00774CC1"/>
    <w:rsid w:val="007808BD"/>
    <w:rsid w:val="00782138"/>
    <w:rsid w:val="00783154"/>
    <w:rsid w:val="0078432F"/>
    <w:rsid w:val="00787934"/>
    <w:rsid w:val="007910E0"/>
    <w:rsid w:val="00791254"/>
    <w:rsid w:val="0079153B"/>
    <w:rsid w:val="007942DE"/>
    <w:rsid w:val="00795263"/>
    <w:rsid w:val="007A0F44"/>
    <w:rsid w:val="007A13F0"/>
    <w:rsid w:val="007A23F9"/>
    <w:rsid w:val="007A4755"/>
    <w:rsid w:val="007A4EC7"/>
    <w:rsid w:val="007A58D1"/>
    <w:rsid w:val="007B0108"/>
    <w:rsid w:val="007B0157"/>
    <w:rsid w:val="007B31AB"/>
    <w:rsid w:val="007B53BA"/>
    <w:rsid w:val="007B5E9E"/>
    <w:rsid w:val="007C00EE"/>
    <w:rsid w:val="007C22AB"/>
    <w:rsid w:val="007C2ED3"/>
    <w:rsid w:val="007C5455"/>
    <w:rsid w:val="007C78B3"/>
    <w:rsid w:val="007D4B42"/>
    <w:rsid w:val="007D50F0"/>
    <w:rsid w:val="007D61D4"/>
    <w:rsid w:val="007E23CD"/>
    <w:rsid w:val="007E2A29"/>
    <w:rsid w:val="007E2FA2"/>
    <w:rsid w:val="007E4494"/>
    <w:rsid w:val="007E5197"/>
    <w:rsid w:val="007F0615"/>
    <w:rsid w:val="007F2A1B"/>
    <w:rsid w:val="007F4E87"/>
    <w:rsid w:val="007F60A3"/>
    <w:rsid w:val="007F6ADE"/>
    <w:rsid w:val="007F72EF"/>
    <w:rsid w:val="0080055C"/>
    <w:rsid w:val="008013A8"/>
    <w:rsid w:val="00802B4C"/>
    <w:rsid w:val="0080631A"/>
    <w:rsid w:val="00806429"/>
    <w:rsid w:val="00812309"/>
    <w:rsid w:val="0081526D"/>
    <w:rsid w:val="00830732"/>
    <w:rsid w:val="00831042"/>
    <w:rsid w:val="00831A36"/>
    <w:rsid w:val="00831B2A"/>
    <w:rsid w:val="0083295F"/>
    <w:rsid w:val="00833672"/>
    <w:rsid w:val="0083654B"/>
    <w:rsid w:val="0084061F"/>
    <w:rsid w:val="008409E2"/>
    <w:rsid w:val="00840A06"/>
    <w:rsid w:val="00843825"/>
    <w:rsid w:val="0084673E"/>
    <w:rsid w:val="00846E6F"/>
    <w:rsid w:val="008502DE"/>
    <w:rsid w:val="00850744"/>
    <w:rsid w:val="008539CF"/>
    <w:rsid w:val="00853A22"/>
    <w:rsid w:val="0085699A"/>
    <w:rsid w:val="00856FE5"/>
    <w:rsid w:val="008572F7"/>
    <w:rsid w:val="008579B5"/>
    <w:rsid w:val="0086116B"/>
    <w:rsid w:val="008638B3"/>
    <w:rsid w:val="0086439C"/>
    <w:rsid w:val="008643E5"/>
    <w:rsid w:val="00864F03"/>
    <w:rsid w:val="00866748"/>
    <w:rsid w:val="008667D7"/>
    <w:rsid w:val="00873399"/>
    <w:rsid w:val="008749C0"/>
    <w:rsid w:val="00874D64"/>
    <w:rsid w:val="00875F68"/>
    <w:rsid w:val="00877764"/>
    <w:rsid w:val="00884FC4"/>
    <w:rsid w:val="00886139"/>
    <w:rsid w:val="00886744"/>
    <w:rsid w:val="008868FF"/>
    <w:rsid w:val="008900D7"/>
    <w:rsid w:val="0089547F"/>
    <w:rsid w:val="00896C6D"/>
    <w:rsid w:val="008974C3"/>
    <w:rsid w:val="008A6420"/>
    <w:rsid w:val="008B0C9A"/>
    <w:rsid w:val="008B2040"/>
    <w:rsid w:val="008B21B9"/>
    <w:rsid w:val="008B2D8C"/>
    <w:rsid w:val="008B4FAC"/>
    <w:rsid w:val="008B57FA"/>
    <w:rsid w:val="008B58AF"/>
    <w:rsid w:val="008B7484"/>
    <w:rsid w:val="008C17AB"/>
    <w:rsid w:val="008C1915"/>
    <w:rsid w:val="008C1ACF"/>
    <w:rsid w:val="008C1CCC"/>
    <w:rsid w:val="008C3CA9"/>
    <w:rsid w:val="008C3D03"/>
    <w:rsid w:val="008C3FDF"/>
    <w:rsid w:val="008C6AE2"/>
    <w:rsid w:val="008D08A2"/>
    <w:rsid w:val="008D15CB"/>
    <w:rsid w:val="008D1F6E"/>
    <w:rsid w:val="008D3B94"/>
    <w:rsid w:val="008D4605"/>
    <w:rsid w:val="008D50D6"/>
    <w:rsid w:val="008E14B6"/>
    <w:rsid w:val="008E29BB"/>
    <w:rsid w:val="008E5E8F"/>
    <w:rsid w:val="008E7174"/>
    <w:rsid w:val="008E7CEC"/>
    <w:rsid w:val="008F0AD1"/>
    <w:rsid w:val="008F1117"/>
    <w:rsid w:val="008F4237"/>
    <w:rsid w:val="008F6304"/>
    <w:rsid w:val="0090481A"/>
    <w:rsid w:val="00904B6D"/>
    <w:rsid w:val="00905D8F"/>
    <w:rsid w:val="00910135"/>
    <w:rsid w:val="009162E8"/>
    <w:rsid w:val="00916F25"/>
    <w:rsid w:val="00917668"/>
    <w:rsid w:val="00917806"/>
    <w:rsid w:val="00917AFD"/>
    <w:rsid w:val="009218DF"/>
    <w:rsid w:val="0092703C"/>
    <w:rsid w:val="0092758F"/>
    <w:rsid w:val="00932EDF"/>
    <w:rsid w:val="0093447E"/>
    <w:rsid w:val="00940527"/>
    <w:rsid w:val="00943237"/>
    <w:rsid w:val="009446DB"/>
    <w:rsid w:val="00944A3E"/>
    <w:rsid w:val="009462F3"/>
    <w:rsid w:val="009515F3"/>
    <w:rsid w:val="00951875"/>
    <w:rsid w:val="009601BF"/>
    <w:rsid w:val="00962724"/>
    <w:rsid w:val="00964B97"/>
    <w:rsid w:val="00972E7B"/>
    <w:rsid w:val="009730D2"/>
    <w:rsid w:val="009815A9"/>
    <w:rsid w:val="00992FE4"/>
    <w:rsid w:val="00993DD1"/>
    <w:rsid w:val="00994C4E"/>
    <w:rsid w:val="00997574"/>
    <w:rsid w:val="009A01ED"/>
    <w:rsid w:val="009B07F3"/>
    <w:rsid w:val="009B208A"/>
    <w:rsid w:val="009B428F"/>
    <w:rsid w:val="009B4C13"/>
    <w:rsid w:val="009B650D"/>
    <w:rsid w:val="009B6A3E"/>
    <w:rsid w:val="009B6BD3"/>
    <w:rsid w:val="009C0E72"/>
    <w:rsid w:val="009C6319"/>
    <w:rsid w:val="009C77A6"/>
    <w:rsid w:val="009D3CB5"/>
    <w:rsid w:val="009D4D12"/>
    <w:rsid w:val="009D7F93"/>
    <w:rsid w:val="009E0F2F"/>
    <w:rsid w:val="009E3717"/>
    <w:rsid w:val="009E5603"/>
    <w:rsid w:val="009E6D36"/>
    <w:rsid w:val="009E75E0"/>
    <w:rsid w:val="009F1542"/>
    <w:rsid w:val="009F77B6"/>
    <w:rsid w:val="00A00BE4"/>
    <w:rsid w:val="00A01ECF"/>
    <w:rsid w:val="00A024F3"/>
    <w:rsid w:val="00A03111"/>
    <w:rsid w:val="00A04E4D"/>
    <w:rsid w:val="00A15606"/>
    <w:rsid w:val="00A16B91"/>
    <w:rsid w:val="00A17EE8"/>
    <w:rsid w:val="00A21C64"/>
    <w:rsid w:val="00A23FA1"/>
    <w:rsid w:val="00A24F50"/>
    <w:rsid w:val="00A25DC1"/>
    <w:rsid w:val="00A27032"/>
    <w:rsid w:val="00A31796"/>
    <w:rsid w:val="00A31FD9"/>
    <w:rsid w:val="00A33667"/>
    <w:rsid w:val="00A34704"/>
    <w:rsid w:val="00A3473B"/>
    <w:rsid w:val="00A3475C"/>
    <w:rsid w:val="00A37164"/>
    <w:rsid w:val="00A3718A"/>
    <w:rsid w:val="00A40265"/>
    <w:rsid w:val="00A4158E"/>
    <w:rsid w:val="00A41AED"/>
    <w:rsid w:val="00A43372"/>
    <w:rsid w:val="00A4350A"/>
    <w:rsid w:val="00A44A16"/>
    <w:rsid w:val="00A46476"/>
    <w:rsid w:val="00A51B77"/>
    <w:rsid w:val="00A54139"/>
    <w:rsid w:val="00A56E73"/>
    <w:rsid w:val="00A620FC"/>
    <w:rsid w:val="00A62373"/>
    <w:rsid w:val="00A6288D"/>
    <w:rsid w:val="00A64061"/>
    <w:rsid w:val="00A6603D"/>
    <w:rsid w:val="00A72725"/>
    <w:rsid w:val="00A75D19"/>
    <w:rsid w:val="00A76032"/>
    <w:rsid w:val="00A767E0"/>
    <w:rsid w:val="00A76E75"/>
    <w:rsid w:val="00A77A26"/>
    <w:rsid w:val="00A80B89"/>
    <w:rsid w:val="00A80E8E"/>
    <w:rsid w:val="00A81015"/>
    <w:rsid w:val="00A849CF"/>
    <w:rsid w:val="00A87D84"/>
    <w:rsid w:val="00A90EB9"/>
    <w:rsid w:val="00A90FFB"/>
    <w:rsid w:val="00A91AAD"/>
    <w:rsid w:val="00A937ED"/>
    <w:rsid w:val="00A93998"/>
    <w:rsid w:val="00A93C2D"/>
    <w:rsid w:val="00A96FA2"/>
    <w:rsid w:val="00A97399"/>
    <w:rsid w:val="00AA067A"/>
    <w:rsid w:val="00AA5242"/>
    <w:rsid w:val="00AB136E"/>
    <w:rsid w:val="00AB1DC6"/>
    <w:rsid w:val="00AB33CB"/>
    <w:rsid w:val="00AB4E25"/>
    <w:rsid w:val="00AB50DF"/>
    <w:rsid w:val="00AB6A38"/>
    <w:rsid w:val="00AB7531"/>
    <w:rsid w:val="00AC1470"/>
    <w:rsid w:val="00AC1B9D"/>
    <w:rsid w:val="00AC40B5"/>
    <w:rsid w:val="00AC5F8E"/>
    <w:rsid w:val="00AC6F02"/>
    <w:rsid w:val="00AD30CE"/>
    <w:rsid w:val="00AD6A7F"/>
    <w:rsid w:val="00AE020F"/>
    <w:rsid w:val="00AE1163"/>
    <w:rsid w:val="00AE34F0"/>
    <w:rsid w:val="00AE4F47"/>
    <w:rsid w:val="00AE692F"/>
    <w:rsid w:val="00AF2BF0"/>
    <w:rsid w:val="00AF2F76"/>
    <w:rsid w:val="00AF457A"/>
    <w:rsid w:val="00AF4EC8"/>
    <w:rsid w:val="00AF5520"/>
    <w:rsid w:val="00AF7F9A"/>
    <w:rsid w:val="00B00A42"/>
    <w:rsid w:val="00B02658"/>
    <w:rsid w:val="00B02779"/>
    <w:rsid w:val="00B0380A"/>
    <w:rsid w:val="00B13968"/>
    <w:rsid w:val="00B22401"/>
    <w:rsid w:val="00B22D27"/>
    <w:rsid w:val="00B24DC4"/>
    <w:rsid w:val="00B25879"/>
    <w:rsid w:val="00B27CDE"/>
    <w:rsid w:val="00B31E61"/>
    <w:rsid w:val="00B327C3"/>
    <w:rsid w:val="00B32C20"/>
    <w:rsid w:val="00B35A62"/>
    <w:rsid w:val="00B36C57"/>
    <w:rsid w:val="00B37908"/>
    <w:rsid w:val="00B41CBC"/>
    <w:rsid w:val="00B41DC3"/>
    <w:rsid w:val="00B42D56"/>
    <w:rsid w:val="00B438D4"/>
    <w:rsid w:val="00B474A6"/>
    <w:rsid w:val="00B510EE"/>
    <w:rsid w:val="00B513FE"/>
    <w:rsid w:val="00B5191D"/>
    <w:rsid w:val="00B51928"/>
    <w:rsid w:val="00B5228D"/>
    <w:rsid w:val="00B5647C"/>
    <w:rsid w:val="00B632C2"/>
    <w:rsid w:val="00B73639"/>
    <w:rsid w:val="00B77F3E"/>
    <w:rsid w:val="00B80B8C"/>
    <w:rsid w:val="00B81189"/>
    <w:rsid w:val="00B83A58"/>
    <w:rsid w:val="00B91069"/>
    <w:rsid w:val="00BA0C3E"/>
    <w:rsid w:val="00BA108A"/>
    <w:rsid w:val="00BA3DE1"/>
    <w:rsid w:val="00BA4CF9"/>
    <w:rsid w:val="00BA779C"/>
    <w:rsid w:val="00BA7E0F"/>
    <w:rsid w:val="00BC24B7"/>
    <w:rsid w:val="00BC3C02"/>
    <w:rsid w:val="00BC53DD"/>
    <w:rsid w:val="00BC70C3"/>
    <w:rsid w:val="00BC78BF"/>
    <w:rsid w:val="00BD0885"/>
    <w:rsid w:val="00BD2877"/>
    <w:rsid w:val="00BD7585"/>
    <w:rsid w:val="00BE0EE6"/>
    <w:rsid w:val="00BE1F67"/>
    <w:rsid w:val="00BE33F9"/>
    <w:rsid w:val="00BE3AC7"/>
    <w:rsid w:val="00BE3E6A"/>
    <w:rsid w:val="00BE7485"/>
    <w:rsid w:val="00BF5476"/>
    <w:rsid w:val="00BF5C67"/>
    <w:rsid w:val="00C0535F"/>
    <w:rsid w:val="00C05787"/>
    <w:rsid w:val="00C07BA9"/>
    <w:rsid w:val="00C119A7"/>
    <w:rsid w:val="00C13A38"/>
    <w:rsid w:val="00C148A1"/>
    <w:rsid w:val="00C158DF"/>
    <w:rsid w:val="00C168CE"/>
    <w:rsid w:val="00C173C5"/>
    <w:rsid w:val="00C17CEF"/>
    <w:rsid w:val="00C203BC"/>
    <w:rsid w:val="00C222C4"/>
    <w:rsid w:val="00C2638B"/>
    <w:rsid w:val="00C265C7"/>
    <w:rsid w:val="00C278BD"/>
    <w:rsid w:val="00C311E3"/>
    <w:rsid w:val="00C31E4F"/>
    <w:rsid w:val="00C32175"/>
    <w:rsid w:val="00C36BC1"/>
    <w:rsid w:val="00C43BA9"/>
    <w:rsid w:val="00C50B14"/>
    <w:rsid w:val="00C50F09"/>
    <w:rsid w:val="00C533BC"/>
    <w:rsid w:val="00C542DC"/>
    <w:rsid w:val="00C55874"/>
    <w:rsid w:val="00C55EB9"/>
    <w:rsid w:val="00C5694E"/>
    <w:rsid w:val="00C622B1"/>
    <w:rsid w:val="00C62CF6"/>
    <w:rsid w:val="00C66C6A"/>
    <w:rsid w:val="00C67430"/>
    <w:rsid w:val="00C70A80"/>
    <w:rsid w:val="00C71F53"/>
    <w:rsid w:val="00C72252"/>
    <w:rsid w:val="00C72BBD"/>
    <w:rsid w:val="00C758EE"/>
    <w:rsid w:val="00C7591D"/>
    <w:rsid w:val="00C7657D"/>
    <w:rsid w:val="00C7659B"/>
    <w:rsid w:val="00C76B9E"/>
    <w:rsid w:val="00C85832"/>
    <w:rsid w:val="00C8700F"/>
    <w:rsid w:val="00C908A8"/>
    <w:rsid w:val="00C917F9"/>
    <w:rsid w:val="00C9365F"/>
    <w:rsid w:val="00C95277"/>
    <w:rsid w:val="00C95AD6"/>
    <w:rsid w:val="00C969E3"/>
    <w:rsid w:val="00C97D96"/>
    <w:rsid w:val="00CA20F6"/>
    <w:rsid w:val="00CA410E"/>
    <w:rsid w:val="00CA45D9"/>
    <w:rsid w:val="00CA5753"/>
    <w:rsid w:val="00CA7C90"/>
    <w:rsid w:val="00CB0F59"/>
    <w:rsid w:val="00CB30BE"/>
    <w:rsid w:val="00CB6E6A"/>
    <w:rsid w:val="00CC3188"/>
    <w:rsid w:val="00CC477E"/>
    <w:rsid w:val="00CC4BB0"/>
    <w:rsid w:val="00CD07AC"/>
    <w:rsid w:val="00CD0B4F"/>
    <w:rsid w:val="00CD0EA9"/>
    <w:rsid w:val="00CD5F0B"/>
    <w:rsid w:val="00CD68F3"/>
    <w:rsid w:val="00CE24B4"/>
    <w:rsid w:val="00CE35D6"/>
    <w:rsid w:val="00CE7162"/>
    <w:rsid w:val="00CF0B9C"/>
    <w:rsid w:val="00CF5460"/>
    <w:rsid w:val="00CF6975"/>
    <w:rsid w:val="00D02302"/>
    <w:rsid w:val="00D03377"/>
    <w:rsid w:val="00D04882"/>
    <w:rsid w:val="00D11F4B"/>
    <w:rsid w:val="00D120CC"/>
    <w:rsid w:val="00D14801"/>
    <w:rsid w:val="00D15731"/>
    <w:rsid w:val="00D1747F"/>
    <w:rsid w:val="00D17D54"/>
    <w:rsid w:val="00D216E6"/>
    <w:rsid w:val="00D22046"/>
    <w:rsid w:val="00D23079"/>
    <w:rsid w:val="00D2689F"/>
    <w:rsid w:val="00D2758E"/>
    <w:rsid w:val="00D27BC5"/>
    <w:rsid w:val="00D34A3B"/>
    <w:rsid w:val="00D3690A"/>
    <w:rsid w:val="00D45E3D"/>
    <w:rsid w:val="00D47183"/>
    <w:rsid w:val="00D47D4C"/>
    <w:rsid w:val="00D51BEA"/>
    <w:rsid w:val="00D52998"/>
    <w:rsid w:val="00D535A6"/>
    <w:rsid w:val="00D57938"/>
    <w:rsid w:val="00D5798C"/>
    <w:rsid w:val="00D610CD"/>
    <w:rsid w:val="00D63847"/>
    <w:rsid w:val="00D63F26"/>
    <w:rsid w:val="00D642C5"/>
    <w:rsid w:val="00D64889"/>
    <w:rsid w:val="00D65C47"/>
    <w:rsid w:val="00D65CBB"/>
    <w:rsid w:val="00D7200D"/>
    <w:rsid w:val="00D733DC"/>
    <w:rsid w:val="00D74D47"/>
    <w:rsid w:val="00D76CF5"/>
    <w:rsid w:val="00D77D55"/>
    <w:rsid w:val="00D82813"/>
    <w:rsid w:val="00D82F9B"/>
    <w:rsid w:val="00D841F0"/>
    <w:rsid w:val="00D84F5F"/>
    <w:rsid w:val="00D86A30"/>
    <w:rsid w:val="00D8732C"/>
    <w:rsid w:val="00D873EA"/>
    <w:rsid w:val="00D87EBD"/>
    <w:rsid w:val="00D91E8D"/>
    <w:rsid w:val="00D950AC"/>
    <w:rsid w:val="00D95F21"/>
    <w:rsid w:val="00D96703"/>
    <w:rsid w:val="00DA0421"/>
    <w:rsid w:val="00DA0DA8"/>
    <w:rsid w:val="00DA20B1"/>
    <w:rsid w:val="00DA407C"/>
    <w:rsid w:val="00DA5A39"/>
    <w:rsid w:val="00DA5A91"/>
    <w:rsid w:val="00DA6C77"/>
    <w:rsid w:val="00DA7169"/>
    <w:rsid w:val="00DB018D"/>
    <w:rsid w:val="00DB2312"/>
    <w:rsid w:val="00DB23F0"/>
    <w:rsid w:val="00DB2A82"/>
    <w:rsid w:val="00DC0780"/>
    <w:rsid w:val="00DC159E"/>
    <w:rsid w:val="00DC5C43"/>
    <w:rsid w:val="00DE02C2"/>
    <w:rsid w:val="00DE03D5"/>
    <w:rsid w:val="00DE04DB"/>
    <w:rsid w:val="00DE18F7"/>
    <w:rsid w:val="00DE3951"/>
    <w:rsid w:val="00DF246A"/>
    <w:rsid w:val="00DF2E6A"/>
    <w:rsid w:val="00DF69F9"/>
    <w:rsid w:val="00DF72D5"/>
    <w:rsid w:val="00E02396"/>
    <w:rsid w:val="00E02C54"/>
    <w:rsid w:val="00E03BE8"/>
    <w:rsid w:val="00E04C02"/>
    <w:rsid w:val="00E051D2"/>
    <w:rsid w:val="00E062CF"/>
    <w:rsid w:val="00E11843"/>
    <w:rsid w:val="00E1432E"/>
    <w:rsid w:val="00E22324"/>
    <w:rsid w:val="00E223EC"/>
    <w:rsid w:val="00E23AF5"/>
    <w:rsid w:val="00E247DF"/>
    <w:rsid w:val="00E25BA3"/>
    <w:rsid w:val="00E3139B"/>
    <w:rsid w:val="00E3328C"/>
    <w:rsid w:val="00E358C7"/>
    <w:rsid w:val="00E36528"/>
    <w:rsid w:val="00E36E9A"/>
    <w:rsid w:val="00E4154B"/>
    <w:rsid w:val="00E4371A"/>
    <w:rsid w:val="00E4648E"/>
    <w:rsid w:val="00E50601"/>
    <w:rsid w:val="00E56887"/>
    <w:rsid w:val="00E62D8D"/>
    <w:rsid w:val="00E73808"/>
    <w:rsid w:val="00E74589"/>
    <w:rsid w:val="00E748CE"/>
    <w:rsid w:val="00E81FF9"/>
    <w:rsid w:val="00E847E3"/>
    <w:rsid w:val="00E87169"/>
    <w:rsid w:val="00E90C87"/>
    <w:rsid w:val="00E91450"/>
    <w:rsid w:val="00E920A6"/>
    <w:rsid w:val="00E92167"/>
    <w:rsid w:val="00E95191"/>
    <w:rsid w:val="00E95C11"/>
    <w:rsid w:val="00E96B67"/>
    <w:rsid w:val="00E97016"/>
    <w:rsid w:val="00E978B9"/>
    <w:rsid w:val="00EC2150"/>
    <w:rsid w:val="00EC2E73"/>
    <w:rsid w:val="00EC675E"/>
    <w:rsid w:val="00ED12A5"/>
    <w:rsid w:val="00ED65C7"/>
    <w:rsid w:val="00EE1801"/>
    <w:rsid w:val="00EE2517"/>
    <w:rsid w:val="00EE2AEF"/>
    <w:rsid w:val="00EE3749"/>
    <w:rsid w:val="00EE3D45"/>
    <w:rsid w:val="00EE576E"/>
    <w:rsid w:val="00EE5D0F"/>
    <w:rsid w:val="00EE5D38"/>
    <w:rsid w:val="00EF2E65"/>
    <w:rsid w:val="00EF3230"/>
    <w:rsid w:val="00EF59C8"/>
    <w:rsid w:val="00EF5A4E"/>
    <w:rsid w:val="00EF5E2B"/>
    <w:rsid w:val="00F0698E"/>
    <w:rsid w:val="00F069C5"/>
    <w:rsid w:val="00F07292"/>
    <w:rsid w:val="00F106D3"/>
    <w:rsid w:val="00F14D24"/>
    <w:rsid w:val="00F22A15"/>
    <w:rsid w:val="00F2681D"/>
    <w:rsid w:val="00F3270F"/>
    <w:rsid w:val="00F35225"/>
    <w:rsid w:val="00F37253"/>
    <w:rsid w:val="00F40362"/>
    <w:rsid w:val="00F418C8"/>
    <w:rsid w:val="00F436A9"/>
    <w:rsid w:val="00F50A18"/>
    <w:rsid w:val="00F51CC7"/>
    <w:rsid w:val="00F559EA"/>
    <w:rsid w:val="00F56829"/>
    <w:rsid w:val="00F60363"/>
    <w:rsid w:val="00F61E77"/>
    <w:rsid w:val="00F636BA"/>
    <w:rsid w:val="00F665F2"/>
    <w:rsid w:val="00F66641"/>
    <w:rsid w:val="00F674D3"/>
    <w:rsid w:val="00F73C57"/>
    <w:rsid w:val="00F7472E"/>
    <w:rsid w:val="00F75A53"/>
    <w:rsid w:val="00F776DD"/>
    <w:rsid w:val="00F80C69"/>
    <w:rsid w:val="00F83C81"/>
    <w:rsid w:val="00FA0BEF"/>
    <w:rsid w:val="00FA12E7"/>
    <w:rsid w:val="00FA1539"/>
    <w:rsid w:val="00FA66D9"/>
    <w:rsid w:val="00FB0143"/>
    <w:rsid w:val="00FB25A4"/>
    <w:rsid w:val="00FB2CE5"/>
    <w:rsid w:val="00FB3666"/>
    <w:rsid w:val="00FB4AC8"/>
    <w:rsid w:val="00FB5067"/>
    <w:rsid w:val="00FB7654"/>
    <w:rsid w:val="00FC0587"/>
    <w:rsid w:val="00FC06EF"/>
    <w:rsid w:val="00FC1FEF"/>
    <w:rsid w:val="00FC2385"/>
    <w:rsid w:val="00FC255A"/>
    <w:rsid w:val="00FC4B47"/>
    <w:rsid w:val="00FD1958"/>
    <w:rsid w:val="00FD2BF9"/>
    <w:rsid w:val="00FD368D"/>
    <w:rsid w:val="00FD4106"/>
    <w:rsid w:val="00FD554D"/>
    <w:rsid w:val="00FE0DAE"/>
    <w:rsid w:val="00FE3D1B"/>
    <w:rsid w:val="00FE68A0"/>
    <w:rsid w:val="00FF7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E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EC"/>
    <w:rPr>
      <w:rFonts w:ascii="Lucida Grande" w:hAnsi="Lucida Grande"/>
      <w:sz w:val="18"/>
      <w:szCs w:val="18"/>
      <w:lang w:val="x-none" w:eastAsia="x-none"/>
    </w:rPr>
  </w:style>
  <w:style w:type="character" w:customStyle="1" w:styleId="BalloonTextChar">
    <w:name w:val="Balloon Text Char"/>
    <w:link w:val="BalloonText"/>
    <w:uiPriority w:val="99"/>
    <w:semiHidden/>
    <w:rsid w:val="00A42BEC"/>
    <w:rPr>
      <w:rFonts w:ascii="Lucida Grande" w:hAnsi="Lucida Grande"/>
      <w:sz w:val="18"/>
      <w:szCs w:val="18"/>
    </w:rPr>
  </w:style>
  <w:style w:type="paragraph" w:customStyle="1" w:styleId="LightList-Accent51">
    <w:name w:val="Light List - Accent 51"/>
    <w:basedOn w:val="Normal"/>
    <w:uiPriority w:val="34"/>
    <w:qFormat/>
    <w:rsid w:val="00270C95"/>
    <w:pPr>
      <w:ind w:left="720"/>
      <w:contextualSpacing/>
    </w:pPr>
  </w:style>
  <w:style w:type="character" w:styleId="CommentReference">
    <w:name w:val="annotation reference"/>
    <w:uiPriority w:val="99"/>
    <w:semiHidden/>
    <w:unhideWhenUsed/>
    <w:rsid w:val="00407222"/>
    <w:rPr>
      <w:sz w:val="16"/>
      <w:szCs w:val="16"/>
    </w:rPr>
  </w:style>
  <w:style w:type="paragraph" w:styleId="CommentText">
    <w:name w:val="annotation text"/>
    <w:basedOn w:val="Normal"/>
    <w:link w:val="CommentTextChar"/>
    <w:uiPriority w:val="99"/>
    <w:unhideWhenUsed/>
    <w:rsid w:val="00407222"/>
    <w:rPr>
      <w:sz w:val="20"/>
      <w:szCs w:val="20"/>
      <w:lang w:val="en-US"/>
    </w:rPr>
  </w:style>
  <w:style w:type="character" w:customStyle="1" w:styleId="CommentTextChar">
    <w:name w:val="Comment Text Char"/>
    <w:link w:val="CommentText"/>
    <w:uiPriority w:val="99"/>
    <w:rsid w:val="00407222"/>
    <w:rPr>
      <w:lang w:val="en-US" w:eastAsia="en-US"/>
    </w:rPr>
  </w:style>
  <w:style w:type="paragraph" w:styleId="CommentSubject">
    <w:name w:val="annotation subject"/>
    <w:basedOn w:val="CommentText"/>
    <w:next w:val="CommentText"/>
    <w:link w:val="CommentSubjectChar"/>
    <w:uiPriority w:val="99"/>
    <w:semiHidden/>
    <w:unhideWhenUsed/>
    <w:rsid w:val="00407222"/>
    <w:rPr>
      <w:b/>
      <w:bCs/>
    </w:rPr>
  </w:style>
  <w:style w:type="character" w:customStyle="1" w:styleId="CommentSubjectChar">
    <w:name w:val="Comment Subject Char"/>
    <w:link w:val="CommentSubject"/>
    <w:uiPriority w:val="99"/>
    <w:semiHidden/>
    <w:rsid w:val="00407222"/>
    <w:rPr>
      <w:b/>
      <w:bCs/>
      <w:lang w:val="en-US" w:eastAsia="en-US"/>
    </w:rPr>
  </w:style>
  <w:style w:type="paragraph" w:customStyle="1" w:styleId="LightShading-Accent51">
    <w:name w:val="Light Shading - Accent 51"/>
    <w:hidden/>
    <w:uiPriority w:val="99"/>
    <w:semiHidden/>
    <w:rsid w:val="00407222"/>
  </w:style>
  <w:style w:type="paragraph" w:customStyle="1" w:styleId="DarkList-Accent31">
    <w:name w:val="Dark List - Accent 31"/>
    <w:hidden/>
    <w:uiPriority w:val="99"/>
    <w:semiHidden/>
    <w:rsid w:val="002757F4"/>
    <w:rPr>
      <w:lang w:val="en-ZA"/>
    </w:rPr>
  </w:style>
  <w:style w:type="table" w:styleId="TableGrid">
    <w:name w:val="Table Grid"/>
    <w:basedOn w:val="TableNormal"/>
    <w:uiPriority w:val="59"/>
    <w:rsid w:val="00E6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A0C3E"/>
    <w:rPr>
      <w:i/>
      <w:iCs/>
    </w:rPr>
  </w:style>
  <w:style w:type="character" w:customStyle="1" w:styleId="apple-converted-space">
    <w:name w:val="apple-converted-space"/>
    <w:rsid w:val="00BA0C3E"/>
  </w:style>
  <w:style w:type="paragraph" w:styleId="Header">
    <w:name w:val="header"/>
    <w:basedOn w:val="Normal"/>
    <w:link w:val="HeaderChar"/>
    <w:uiPriority w:val="99"/>
    <w:unhideWhenUsed/>
    <w:rsid w:val="00771FFB"/>
    <w:pPr>
      <w:tabs>
        <w:tab w:val="center" w:pos="4513"/>
        <w:tab w:val="right" w:pos="9026"/>
      </w:tabs>
    </w:pPr>
  </w:style>
  <w:style w:type="character" w:customStyle="1" w:styleId="HeaderChar">
    <w:name w:val="Header Char"/>
    <w:link w:val="Header"/>
    <w:uiPriority w:val="99"/>
    <w:rsid w:val="00771FFB"/>
    <w:rPr>
      <w:sz w:val="24"/>
      <w:szCs w:val="24"/>
      <w:lang w:eastAsia="en-US"/>
    </w:rPr>
  </w:style>
  <w:style w:type="paragraph" w:styleId="Footer">
    <w:name w:val="footer"/>
    <w:basedOn w:val="Normal"/>
    <w:link w:val="FooterChar"/>
    <w:uiPriority w:val="99"/>
    <w:unhideWhenUsed/>
    <w:rsid w:val="00771FFB"/>
    <w:pPr>
      <w:tabs>
        <w:tab w:val="center" w:pos="4513"/>
        <w:tab w:val="right" w:pos="9026"/>
      </w:tabs>
    </w:pPr>
  </w:style>
  <w:style w:type="character" w:customStyle="1" w:styleId="FooterChar">
    <w:name w:val="Footer Char"/>
    <w:link w:val="Footer"/>
    <w:uiPriority w:val="99"/>
    <w:rsid w:val="00771FFB"/>
    <w:rPr>
      <w:sz w:val="24"/>
      <w:szCs w:val="24"/>
      <w:lang w:eastAsia="en-US"/>
    </w:rPr>
  </w:style>
  <w:style w:type="paragraph" w:styleId="NormalWeb">
    <w:name w:val="Normal (Web)"/>
    <w:basedOn w:val="Normal"/>
    <w:uiPriority w:val="99"/>
    <w:unhideWhenUsed/>
    <w:rsid w:val="00E062CF"/>
    <w:pPr>
      <w:spacing w:before="100" w:beforeAutospacing="1" w:after="100" w:afterAutospacing="1"/>
    </w:pPr>
    <w:rPr>
      <w:rFonts w:eastAsia="Times New Roman"/>
      <w:lang w:eastAsia="en-GB"/>
    </w:rPr>
  </w:style>
  <w:style w:type="character" w:styleId="Hyperlink">
    <w:name w:val="Hyperlink"/>
    <w:uiPriority w:val="99"/>
    <w:semiHidden/>
    <w:unhideWhenUsed/>
    <w:rsid w:val="00E062CF"/>
    <w:rPr>
      <w:color w:val="0000FF"/>
      <w:u w:val="single"/>
    </w:rPr>
  </w:style>
  <w:style w:type="character" w:styleId="FollowedHyperlink">
    <w:name w:val="FollowedHyperlink"/>
    <w:uiPriority w:val="99"/>
    <w:semiHidden/>
    <w:unhideWhenUsed/>
    <w:rsid w:val="004728A4"/>
    <w:rPr>
      <w:color w:val="800080"/>
      <w:u w:val="single"/>
    </w:rPr>
  </w:style>
  <w:style w:type="paragraph" w:styleId="PlainText">
    <w:name w:val="Plain Text"/>
    <w:basedOn w:val="Normal"/>
    <w:link w:val="PlainTextChar"/>
    <w:uiPriority w:val="99"/>
    <w:unhideWhenUsed/>
    <w:rsid w:val="006E3E2E"/>
    <w:rPr>
      <w:rFonts w:ascii="Calibri" w:eastAsia="Calibri" w:hAnsi="Calibri" w:cs="Consolas"/>
      <w:sz w:val="22"/>
      <w:szCs w:val="21"/>
      <w:lang w:val="en-ZA"/>
    </w:rPr>
  </w:style>
  <w:style w:type="character" w:customStyle="1" w:styleId="PlainTextChar">
    <w:name w:val="Plain Text Char"/>
    <w:link w:val="PlainText"/>
    <w:uiPriority w:val="99"/>
    <w:rsid w:val="006E3E2E"/>
    <w:rPr>
      <w:rFonts w:ascii="Calibri" w:eastAsia="Calibri" w:hAnsi="Calibri" w:cs="Consolas"/>
      <w:sz w:val="22"/>
      <w:szCs w:val="21"/>
      <w:lang w:eastAsia="en-US"/>
    </w:rPr>
  </w:style>
  <w:style w:type="paragraph" w:styleId="Revision">
    <w:name w:val="Revision"/>
    <w:hidden/>
    <w:uiPriority w:val="99"/>
    <w:semiHidden/>
    <w:rsid w:val="00E36E9A"/>
    <w:rPr>
      <w:lang w:val="en-GB"/>
    </w:rPr>
  </w:style>
  <w:style w:type="paragraph" w:customStyle="1" w:styleId="EndNoteBibliographyTitle">
    <w:name w:val="EndNote Bibliography Title"/>
    <w:basedOn w:val="Normal"/>
    <w:rsid w:val="00211D7E"/>
    <w:pPr>
      <w:jc w:val="center"/>
    </w:pPr>
    <w:rPr>
      <w:lang w:val="en-US"/>
    </w:rPr>
  </w:style>
  <w:style w:type="paragraph" w:customStyle="1" w:styleId="EndNoteBibliography">
    <w:name w:val="EndNote Bibliography"/>
    <w:basedOn w:val="Normal"/>
    <w:rsid w:val="00211D7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EC"/>
    <w:rPr>
      <w:rFonts w:ascii="Lucida Grande" w:hAnsi="Lucida Grande"/>
      <w:sz w:val="18"/>
      <w:szCs w:val="18"/>
      <w:lang w:val="x-none" w:eastAsia="x-none"/>
    </w:rPr>
  </w:style>
  <w:style w:type="character" w:customStyle="1" w:styleId="BalloonTextChar">
    <w:name w:val="Balloon Text Char"/>
    <w:link w:val="BalloonText"/>
    <w:uiPriority w:val="99"/>
    <w:semiHidden/>
    <w:rsid w:val="00A42BEC"/>
    <w:rPr>
      <w:rFonts w:ascii="Lucida Grande" w:hAnsi="Lucida Grande"/>
      <w:sz w:val="18"/>
      <w:szCs w:val="18"/>
    </w:rPr>
  </w:style>
  <w:style w:type="paragraph" w:customStyle="1" w:styleId="LightList-Accent51">
    <w:name w:val="Light List - Accent 51"/>
    <w:basedOn w:val="Normal"/>
    <w:uiPriority w:val="34"/>
    <w:qFormat/>
    <w:rsid w:val="00270C95"/>
    <w:pPr>
      <w:ind w:left="720"/>
      <w:contextualSpacing/>
    </w:pPr>
  </w:style>
  <w:style w:type="character" w:styleId="CommentReference">
    <w:name w:val="annotation reference"/>
    <w:uiPriority w:val="99"/>
    <w:semiHidden/>
    <w:unhideWhenUsed/>
    <w:rsid w:val="00407222"/>
    <w:rPr>
      <w:sz w:val="16"/>
      <w:szCs w:val="16"/>
    </w:rPr>
  </w:style>
  <w:style w:type="paragraph" w:styleId="CommentText">
    <w:name w:val="annotation text"/>
    <w:basedOn w:val="Normal"/>
    <w:link w:val="CommentTextChar"/>
    <w:uiPriority w:val="99"/>
    <w:unhideWhenUsed/>
    <w:rsid w:val="00407222"/>
    <w:rPr>
      <w:sz w:val="20"/>
      <w:szCs w:val="20"/>
      <w:lang w:val="en-US"/>
    </w:rPr>
  </w:style>
  <w:style w:type="character" w:customStyle="1" w:styleId="CommentTextChar">
    <w:name w:val="Comment Text Char"/>
    <w:link w:val="CommentText"/>
    <w:uiPriority w:val="99"/>
    <w:rsid w:val="00407222"/>
    <w:rPr>
      <w:lang w:val="en-US" w:eastAsia="en-US"/>
    </w:rPr>
  </w:style>
  <w:style w:type="paragraph" w:styleId="CommentSubject">
    <w:name w:val="annotation subject"/>
    <w:basedOn w:val="CommentText"/>
    <w:next w:val="CommentText"/>
    <w:link w:val="CommentSubjectChar"/>
    <w:uiPriority w:val="99"/>
    <w:semiHidden/>
    <w:unhideWhenUsed/>
    <w:rsid w:val="00407222"/>
    <w:rPr>
      <w:b/>
      <w:bCs/>
    </w:rPr>
  </w:style>
  <w:style w:type="character" w:customStyle="1" w:styleId="CommentSubjectChar">
    <w:name w:val="Comment Subject Char"/>
    <w:link w:val="CommentSubject"/>
    <w:uiPriority w:val="99"/>
    <w:semiHidden/>
    <w:rsid w:val="00407222"/>
    <w:rPr>
      <w:b/>
      <w:bCs/>
      <w:lang w:val="en-US" w:eastAsia="en-US"/>
    </w:rPr>
  </w:style>
  <w:style w:type="paragraph" w:customStyle="1" w:styleId="LightShading-Accent51">
    <w:name w:val="Light Shading - Accent 51"/>
    <w:hidden/>
    <w:uiPriority w:val="99"/>
    <w:semiHidden/>
    <w:rsid w:val="00407222"/>
  </w:style>
  <w:style w:type="paragraph" w:customStyle="1" w:styleId="DarkList-Accent31">
    <w:name w:val="Dark List - Accent 31"/>
    <w:hidden/>
    <w:uiPriority w:val="99"/>
    <w:semiHidden/>
    <w:rsid w:val="002757F4"/>
    <w:rPr>
      <w:lang w:val="en-ZA"/>
    </w:rPr>
  </w:style>
  <w:style w:type="table" w:styleId="TableGrid">
    <w:name w:val="Table Grid"/>
    <w:basedOn w:val="TableNormal"/>
    <w:uiPriority w:val="59"/>
    <w:rsid w:val="00E6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A0C3E"/>
    <w:rPr>
      <w:i/>
      <w:iCs/>
    </w:rPr>
  </w:style>
  <w:style w:type="character" w:customStyle="1" w:styleId="apple-converted-space">
    <w:name w:val="apple-converted-space"/>
    <w:rsid w:val="00BA0C3E"/>
  </w:style>
  <w:style w:type="paragraph" w:styleId="Header">
    <w:name w:val="header"/>
    <w:basedOn w:val="Normal"/>
    <w:link w:val="HeaderChar"/>
    <w:uiPriority w:val="99"/>
    <w:unhideWhenUsed/>
    <w:rsid w:val="00771FFB"/>
    <w:pPr>
      <w:tabs>
        <w:tab w:val="center" w:pos="4513"/>
        <w:tab w:val="right" w:pos="9026"/>
      </w:tabs>
    </w:pPr>
  </w:style>
  <w:style w:type="character" w:customStyle="1" w:styleId="HeaderChar">
    <w:name w:val="Header Char"/>
    <w:link w:val="Header"/>
    <w:uiPriority w:val="99"/>
    <w:rsid w:val="00771FFB"/>
    <w:rPr>
      <w:sz w:val="24"/>
      <w:szCs w:val="24"/>
      <w:lang w:eastAsia="en-US"/>
    </w:rPr>
  </w:style>
  <w:style w:type="paragraph" w:styleId="Footer">
    <w:name w:val="footer"/>
    <w:basedOn w:val="Normal"/>
    <w:link w:val="FooterChar"/>
    <w:uiPriority w:val="99"/>
    <w:unhideWhenUsed/>
    <w:rsid w:val="00771FFB"/>
    <w:pPr>
      <w:tabs>
        <w:tab w:val="center" w:pos="4513"/>
        <w:tab w:val="right" w:pos="9026"/>
      </w:tabs>
    </w:pPr>
  </w:style>
  <w:style w:type="character" w:customStyle="1" w:styleId="FooterChar">
    <w:name w:val="Footer Char"/>
    <w:link w:val="Footer"/>
    <w:uiPriority w:val="99"/>
    <w:rsid w:val="00771FFB"/>
    <w:rPr>
      <w:sz w:val="24"/>
      <w:szCs w:val="24"/>
      <w:lang w:eastAsia="en-US"/>
    </w:rPr>
  </w:style>
  <w:style w:type="paragraph" w:styleId="NormalWeb">
    <w:name w:val="Normal (Web)"/>
    <w:basedOn w:val="Normal"/>
    <w:uiPriority w:val="99"/>
    <w:unhideWhenUsed/>
    <w:rsid w:val="00E062CF"/>
    <w:pPr>
      <w:spacing w:before="100" w:beforeAutospacing="1" w:after="100" w:afterAutospacing="1"/>
    </w:pPr>
    <w:rPr>
      <w:rFonts w:eastAsia="Times New Roman"/>
      <w:lang w:eastAsia="en-GB"/>
    </w:rPr>
  </w:style>
  <w:style w:type="character" w:styleId="Hyperlink">
    <w:name w:val="Hyperlink"/>
    <w:uiPriority w:val="99"/>
    <w:semiHidden/>
    <w:unhideWhenUsed/>
    <w:rsid w:val="00E062CF"/>
    <w:rPr>
      <w:color w:val="0000FF"/>
      <w:u w:val="single"/>
    </w:rPr>
  </w:style>
  <w:style w:type="character" w:styleId="FollowedHyperlink">
    <w:name w:val="FollowedHyperlink"/>
    <w:uiPriority w:val="99"/>
    <w:semiHidden/>
    <w:unhideWhenUsed/>
    <w:rsid w:val="004728A4"/>
    <w:rPr>
      <w:color w:val="800080"/>
      <w:u w:val="single"/>
    </w:rPr>
  </w:style>
  <w:style w:type="paragraph" w:styleId="PlainText">
    <w:name w:val="Plain Text"/>
    <w:basedOn w:val="Normal"/>
    <w:link w:val="PlainTextChar"/>
    <w:uiPriority w:val="99"/>
    <w:unhideWhenUsed/>
    <w:rsid w:val="006E3E2E"/>
    <w:rPr>
      <w:rFonts w:ascii="Calibri" w:eastAsia="Calibri" w:hAnsi="Calibri" w:cs="Consolas"/>
      <w:sz w:val="22"/>
      <w:szCs w:val="21"/>
      <w:lang w:val="en-ZA"/>
    </w:rPr>
  </w:style>
  <w:style w:type="character" w:customStyle="1" w:styleId="PlainTextChar">
    <w:name w:val="Plain Text Char"/>
    <w:link w:val="PlainText"/>
    <w:uiPriority w:val="99"/>
    <w:rsid w:val="006E3E2E"/>
    <w:rPr>
      <w:rFonts w:ascii="Calibri" w:eastAsia="Calibri" w:hAnsi="Calibri" w:cs="Consolas"/>
      <w:sz w:val="22"/>
      <w:szCs w:val="21"/>
      <w:lang w:eastAsia="en-US"/>
    </w:rPr>
  </w:style>
  <w:style w:type="paragraph" w:styleId="Revision">
    <w:name w:val="Revision"/>
    <w:hidden/>
    <w:uiPriority w:val="99"/>
    <w:semiHidden/>
    <w:rsid w:val="00E36E9A"/>
    <w:rPr>
      <w:lang w:val="en-GB"/>
    </w:rPr>
  </w:style>
  <w:style w:type="paragraph" w:customStyle="1" w:styleId="EndNoteBibliographyTitle">
    <w:name w:val="EndNote Bibliography Title"/>
    <w:basedOn w:val="Normal"/>
    <w:rsid w:val="00211D7E"/>
    <w:pPr>
      <w:jc w:val="center"/>
    </w:pPr>
    <w:rPr>
      <w:lang w:val="en-US"/>
    </w:rPr>
  </w:style>
  <w:style w:type="paragraph" w:customStyle="1" w:styleId="EndNoteBibliography">
    <w:name w:val="EndNote Bibliography"/>
    <w:basedOn w:val="Normal"/>
    <w:rsid w:val="00211D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394">
      <w:bodyDiv w:val="1"/>
      <w:marLeft w:val="0"/>
      <w:marRight w:val="0"/>
      <w:marTop w:val="0"/>
      <w:marBottom w:val="0"/>
      <w:divBdr>
        <w:top w:val="none" w:sz="0" w:space="0" w:color="auto"/>
        <w:left w:val="none" w:sz="0" w:space="0" w:color="auto"/>
        <w:bottom w:val="none" w:sz="0" w:space="0" w:color="auto"/>
        <w:right w:val="none" w:sz="0" w:space="0" w:color="auto"/>
      </w:divBdr>
    </w:div>
    <w:div w:id="340857429">
      <w:bodyDiv w:val="1"/>
      <w:marLeft w:val="0"/>
      <w:marRight w:val="0"/>
      <w:marTop w:val="0"/>
      <w:marBottom w:val="0"/>
      <w:divBdr>
        <w:top w:val="none" w:sz="0" w:space="0" w:color="auto"/>
        <w:left w:val="none" w:sz="0" w:space="0" w:color="auto"/>
        <w:bottom w:val="none" w:sz="0" w:space="0" w:color="auto"/>
        <w:right w:val="none" w:sz="0" w:space="0" w:color="auto"/>
      </w:divBdr>
    </w:div>
    <w:div w:id="480192505">
      <w:bodyDiv w:val="1"/>
      <w:marLeft w:val="0"/>
      <w:marRight w:val="0"/>
      <w:marTop w:val="0"/>
      <w:marBottom w:val="0"/>
      <w:divBdr>
        <w:top w:val="none" w:sz="0" w:space="0" w:color="auto"/>
        <w:left w:val="none" w:sz="0" w:space="0" w:color="auto"/>
        <w:bottom w:val="none" w:sz="0" w:space="0" w:color="auto"/>
        <w:right w:val="none" w:sz="0" w:space="0" w:color="auto"/>
      </w:divBdr>
    </w:div>
    <w:div w:id="491877674">
      <w:bodyDiv w:val="1"/>
      <w:marLeft w:val="0"/>
      <w:marRight w:val="0"/>
      <w:marTop w:val="0"/>
      <w:marBottom w:val="0"/>
      <w:divBdr>
        <w:top w:val="none" w:sz="0" w:space="0" w:color="auto"/>
        <w:left w:val="none" w:sz="0" w:space="0" w:color="auto"/>
        <w:bottom w:val="none" w:sz="0" w:space="0" w:color="auto"/>
        <w:right w:val="none" w:sz="0" w:space="0" w:color="auto"/>
      </w:divBdr>
    </w:div>
    <w:div w:id="494421270">
      <w:bodyDiv w:val="1"/>
      <w:marLeft w:val="0"/>
      <w:marRight w:val="0"/>
      <w:marTop w:val="0"/>
      <w:marBottom w:val="0"/>
      <w:divBdr>
        <w:top w:val="none" w:sz="0" w:space="0" w:color="auto"/>
        <w:left w:val="none" w:sz="0" w:space="0" w:color="auto"/>
        <w:bottom w:val="none" w:sz="0" w:space="0" w:color="auto"/>
        <w:right w:val="none" w:sz="0" w:space="0" w:color="auto"/>
      </w:divBdr>
    </w:div>
    <w:div w:id="791679095">
      <w:bodyDiv w:val="1"/>
      <w:marLeft w:val="0"/>
      <w:marRight w:val="0"/>
      <w:marTop w:val="0"/>
      <w:marBottom w:val="0"/>
      <w:divBdr>
        <w:top w:val="none" w:sz="0" w:space="0" w:color="auto"/>
        <w:left w:val="none" w:sz="0" w:space="0" w:color="auto"/>
        <w:bottom w:val="none" w:sz="0" w:space="0" w:color="auto"/>
        <w:right w:val="none" w:sz="0" w:space="0" w:color="auto"/>
      </w:divBdr>
    </w:div>
    <w:div w:id="833447160">
      <w:bodyDiv w:val="1"/>
      <w:marLeft w:val="0"/>
      <w:marRight w:val="0"/>
      <w:marTop w:val="0"/>
      <w:marBottom w:val="0"/>
      <w:divBdr>
        <w:top w:val="none" w:sz="0" w:space="0" w:color="auto"/>
        <w:left w:val="none" w:sz="0" w:space="0" w:color="auto"/>
        <w:bottom w:val="none" w:sz="0" w:space="0" w:color="auto"/>
        <w:right w:val="none" w:sz="0" w:space="0" w:color="auto"/>
      </w:divBdr>
    </w:div>
    <w:div w:id="1259876033">
      <w:bodyDiv w:val="1"/>
      <w:marLeft w:val="0"/>
      <w:marRight w:val="0"/>
      <w:marTop w:val="0"/>
      <w:marBottom w:val="0"/>
      <w:divBdr>
        <w:top w:val="none" w:sz="0" w:space="0" w:color="auto"/>
        <w:left w:val="none" w:sz="0" w:space="0" w:color="auto"/>
        <w:bottom w:val="none" w:sz="0" w:space="0" w:color="auto"/>
        <w:right w:val="none" w:sz="0" w:space="0" w:color="auto"/>
      </w:divBdr>
    </w:div>
    <w:div w:id="1328754425">
      <w:bodyDiv w:val="1"/>
      <w:marLeft w:val="0"/>
      <w:marRight w:val="0"/>
      <w:marTop w:val="0"/>
      <w:marBottom w:val="0"/>
      <w:divBdr>
        <w:top w:val="none" w:sz="0" w:space="0" w:color="auto"/>
        <w:left w:val="none" w:sz="0" w:space="0" w:color="auto"/>
        <w:bottom w:val="none" w:sz="0" w:space="0" w:color="auto"/>
        <w:right w:val="none" w:sz="0" w:space="0" w:color="auto"/>
      </w:divBdr>
    </w:div>
    <w:div w:id="170178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3C8C-10D1-43AD-AE95-1537DF1F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t:lpstr>
    </vt:vector>
  </TitlesOfParts>
  <Company>University of Cape Town</Company>
  <LinksUpToDate>false</LinksUpToDate>
  <CharactersWithSpaces>7362</CharactersWithSpaces>
  <SharedDoc>false</SharedDoc>
  <HLinks>
    <vt:vector size="18" baseType="variant">
      <vt:variant>
        <vt:i4>6291492</vt:i4>
      </vt:variant>
      <vt:variant>
        <vt:i4>81</vt:i4>
      </vt:variant>
      <vt:variant>
        <vt:i4>0</vt:i4>
      </vt:variant>
      <vt:variant>
        <vt:i4>5</vt:i4>
      </vt:variant>
      <vt:variant>
        <vt:lpwstr>http://www.who.int/tb/publications/2008/whohtmtb_2008_392/en/</vt:lpwstr>
      </vt:variant>
      <vt:variant>
        <vt:lpwstr/>
      </vt:variant>
      <vt:variant>
        <vt:i4>5963875</vt:i4>
      </vt:variant>
      <vt:variant>
        <vt:i4>78</vt:i4>
      </vt:variant>
      <vt:variant>
        <vt:i4>0</vt:i4>
      </vt:variant>
      <vt:variant>
        <vt:i4>5</vt:i4>
      </vt:variant>
      <vt:variant>
        <vt:lpwstr>http://whqlibdoc.who.int/publications/2010/9789241599191_eng.pdf</vt:lpwstr>
      </vt:variant>
      <vt:variant>
        <vt:lpwstr/>
      </vt:variant>
      <vt:variant>
        <vt:i4>2555963</vt:i4>
      </vt:variant>
      <vt:variant>
        <vt:i4>75</vt:i4>
      </vt:variant>
      <vt:variant>
        <vt:i4>0</vt:i4>
      </vt:variant>
      <vt:variant>
        <vt:i4>5</vt:i4>
      </vt:variant>
      <vt:variant>
        <vt:lpwstr>http://www.who.int/tb/publications/2011/factsheet_tb_2011.pdf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Jonathan Peter</dc:creator>
  <cp:lastModifiedBy>Elize</cp:lastModifiedBy>
  <cp:revision>5</cp:revision>
  <cp:lastPrinted>2015-03-13T10:35:00Z</cp:lastPrinted>
  <dcterms:created xsi:type="dcterms:W3CDTF">2015-02-10T09:29:00Z</dcterms:created>
  <dcterms:modified xsi:type="dcterms:W3CDTF">2015-03-13T10:47:00Z</dcterms:modified>
</cp:coreProperties>
</file>