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A2480" w14:textId="1AF3E63C" w:rsidR="00745292" w:rsidRPr="004041C9" w:rsidRDefault="00745292" w:rsidP="00745292">
      <w:r w:rsidRPr="008B1365">
        <w:rPr>
          <w:b/>
          <w:color w:val="000000"/>
        </w:rPr>
        <w:t xml:space="preserve">Supplementary Table </w:t>
      </w:r>
      <w:r w:rsidR="000576AF">
        <w:rPr>
          <w:b/>
          <w:color w:val="000000"/>
        </w:rPr>
        <w:t>S</w:t>
      </w:r>
      <w:r w:rsidR="00770FE0">
        <w:rPr>
          <w:b/>
          <w:color w:val="000000"/>
        </w:rPr>
        <w:t>5</w:t>
      </w:r>
      <w:bookmarkStart w:id="0" w:name="_GoBack"/>
      <w:bookmarkEnd w:id="0"/>
      <w:r>
        <w:t>.</w:t>
      </w:r>
      <w:r w:rsidRPr="008B1365">
        <w:t xml:space="preserve">  </w:t>
      </w:r>
      <w:r w:rsidRPr="004041C9">
        <w:t xml:space="preserve">Genes in the genome of the </w:t>
      </w:r>
      <w:r w:rsidR="00E43E8F">
        <w:rPr>
          <w:i/>
        </w:rPr>
        <w:t>Drosophila</w:t>
      </w:r>
      <w:r w:rsidRPr="00A67D13">
        <w:rPr>
          <w:i/>
        </w:rPr>
        <w:t xml:space="preserve"> melanogaster</w:t>
      </w:r>
      <w:r w:rsidRPr="004041C9">
        <w:t xml:space="preserve"> </w:t>
      </w:r>
      <w:r w:rsidRPr="004F2B94">
        <w:rPr>
          <w:i/>
        </w:rPr>
        <w:t>91-R</w:t>
      </w:r>
      <w:r w:rsidRPr="004041C9">
        <w:t xml:space="preserve"> strain that are</w:t>
      </w:r>
      <w:r>
        <w:t xml:space="preserve"> </w:t>
      </w:r>
      <w:r w:rsidRPr="004041C9">
        <w:t>within regions putatively</w:t>
      </w:r>
      <w:r>
        <w:t xml:space="preserve"> affected</w:t>
      </w:r>
      <w:r w:rsidRPr="004041C9">
        <w:t xml:space="preserve"> </w:t>
      </w:r>
      <w:r>
        <w:t xml:space="preserve">to a lesser extent </w:t>
      </w:r>
      <w:r w:rsidRPr="004041C9">
        <w:t>by selective sweeps caused by fixation of DDT resistant traits</w:t>
      </w:r>
      <w:r>
        <w:t xml:space="preserve"> (please see Figure 1)</w:t>
      </w:r>
      <w:r w:rsidRPr="004041C9">
        <w:t xml:space="preserve">. </w:t>
      </w:r>
      <w:r>
        <w:t>Expression in adult head (</w:t>
      </w:r>
      <w:proofErr w:type="spellStart"/>
      <w:r>
        <w:t>hd</w:t>
      </w:r>
      <w:proofErr w:type="spellEnd"/>
      <w:r>
        <w:t>), brain (</w:t>
      </w:r>
      <w:proofErr w:type="spellStart"/>
      <w:r>
        <w:t>br</w:t>
      </w:r>
      <w:proofErr w:type="spellEnd"/>
      <w:r>
        <w:t xml:space="preserve">), </w:t>
      </w:r>
      <w:proofErr w:type="spellStart"/>
      <w:r>
        <w:t>malpigian</w:t>
      </w:r>
      <w:proofErr w:type="spellEnd"/>
      <w:r>
        <w:t xml:space="preserve"> tubules (</w:t>
      </w:r>
      <w:proofErr w:type="spellStart"/>
      <w:r>
        <w:t>mt</w:t>
      </w:r>
      <w:proofErr w:type="spellEnd"/>
      <w:r>
        <w:t>), central nervous system (</w:t>
      </w:r>
      <w:proofErr w:type="spellStart"/>
      <w:r>
        <w:t>cns</w:t>
      </w:r>
      <w:proofErr w:type="spellEnd"/>
      <w:r>
        <w:t>) and embryonic tissues (</w:t>
      </w:r>
      <w:proofErr w:type="spellStart"/>
      <w:r>
        <w:t>emb</w:t>
      </w:r>
      <w:proofErr w:type="spellEnd"/>
      <w:r>
        <w:t xml:space="preserve">) are shown as indicated in FlyBase.org.  These genome regions did not surpass the arbitrary cutoff of 100-fold reductions in nucleotide diversity, but did shown an estimated ≥90-fold decreases when compared to the average across respective chromosomes. </w:t>
      </w:r>
    </w:p>
    <w:tbl>
      <w:tblPr>
        <w:tblW w:w="11088" w:type="dxa"/>
        <w:tblLayout w:type="fixed"/>
        <w:tblLook w:val="04A0" w:firstRow="1" w:lastRow="0" w:firstColumn="1" w:lastColumn="0" w:noHBand="0" w:noVBand="1"/>
      </w:tblPr>
      <w:tblGrid>
        <w:gridCol w:w="468"/>
        <w:gridCol w:w="2700"/>
        <w:gridCol w:w="1440"/>
        <w:gridCol w:w="990"/>
        <w:gridCol w:w="2970"/>
        <w:gridCol w:w="450"/>
        <w:gridCol w:w="450"/>
        <w:gridCol w:w="450"/>
        <w:gridCol w:w="810"/>
        <w:gridCol w:w="360"/>
      </w:tblGrid>
      <w:tr w:rsidR="00745292" w:rsidRPr="004041C9" w14:paraId="67B46941" w14:textId="77777777" w:rsidTr="00AA04B4">
        <w:tc>
          <w:tcPr>
            <w:tcW w:w="468" w:type="dxa"/>
            <w:shd w:val="clear" w:color="auto" w:fill="auto"/>
          </w:tcPr>
          <w:p w14:paraId="0A56F3CE" w14:textId="77777777" w:rsidR="00745292" w:rsidRPr="00F72D1C" w:rsidRDefault="00745292" w:rsidP="00690A1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44D3ED3E" w14:textId="77777777" w:rsidR="00745292" w:rsidRPr="00E4125E" w:rsidRDefault="00745292" w:rsidP="00690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1414156" w14:textId="77777777" w:rsidR="00745292" w:rsidRPr="00F72D1C" w:rsidRDefault="00745292" w:rsidP="00690A1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F74439B" w14:textId="77777777" w:rsidR="00745292" w:rsidRDefault="00745292" w:rsidP="00690A1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7A525018" w14:textId="77777777" w:rsidR="00745292" w:rsidRPr="00F72D1C" w:rsidRDefault="00745292" w:rsidP="00690A1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shd w:val="clear" w:color="auto" w:fill="auto"/>
          </w:tcPr>
          <w:p w14:paraId="42D7B12A" w14:textId="77777777" w:rsidR="00745292" w:rsidRPr="00F72D1C" w:rsidRDefault="00745292" w:rsidP="00690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Tissue specific transcription</w:t>
            </w:r>
          </w:p>
        </w:tc>
      </w:tr>
      <w:tr w:rsidR="00745292" w:rsidRPr="004041C9" w14:paraId="056D0A6C" w14:textId="77777777" w:rsidTr="00AA04B4">
        <w:tc>
          <w:tcPr>
            <w:tcW w:w="468" w:type="dxa"/>
            <w:tcBorders>
              <w:bottom w:val="single" w:sz="12" w:space="0" w:color="auto"/>
            </w:tcBorders>
            <w:shd w:val="clear" w:color="auto" w:fill="auto"/>
          </w:tcPr>
          <w:p w14:paraId="0F36CA05" w14:textId="77777777" w:rsidR="00745292" w:rsidRPr="00F72D1C" w:rsidRDefault="00745292" w:rsidP="00690A15">
            <w:pPr>
              <w:rPr>
                <w:sz w:val="20"/>
                <w:szCs w:val="20"/>
              </w:rPr>
            </w:pPr>
            <w:r w:rsidRPr="00F72D1C">
              <w:rPr>
                <w:sz w:val="20"/>
                <w:szCs w:val="20"/>
              </w:rPr>
              <w:t>ID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auto" w:fill="auto"/>
          </w:tcPr>
          <w:p w14:paraId="43F0C868" w14:textId="77777777" w:rsidR="00745292" w:rsidRPr="00E4125E" w:rsidRDefault="00745292" w:rsidP="00690A15">
            <w:pPr>
              <w:jc w:val="center"/>
              <w:rPr>
                <w:sz w:val="20"/>
                <w:szCs w:val="20"/>
              </w:rPr>
            </w:pPr>
            <w:r w:rsidRPr="00E4125E">
              <w:rPr>
                <w:sz w:val="20"/>
                <w:szCs w:val="20"/>
              </w:rPr>
              <w:t xml:space="preserve">Genome interval 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14:paraId="0745062A" w14:textId="77777777" w:rsidR="00745292" w:rsidRPr="00F72D1C" w:rsidRDefault="00745292" w:rsidP="00690A15">
            <w:pPr>
              <w:rPr>
                <w:sz w:val="20"/>
                <w:szCs w:val="20"/>
              </w:rPr>
            </w:pPr>
            <w:proofErr w:type="spellStart"/>
            <w:r w:rsidRPr="00F72D1C">
              <w:rPr>
                <w:sz w:val="20"/>
                <w:szCs w:val="20"/>
              </w:rPr>
              <w:t>Flybase</w:t>
            </w:r>
            <w:proofErr w:type="spellEnd"/>
            <w:r>
              <w:rPr>
                <w:sz w:val="20"/>
                <w:szCs w:val="20"/>
              </w:rPr>
              <w:t xml:space="preserve"> ID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</w:tcPr>
          <w:p w14:paraId="7E0A3E90" w14:textId="77777777" w:rsidR="00745292" w:rsidRPr="00F72D1C" w:rsidRDefault="00745292" w:rsidP="00690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</w:t>
            </w:r>
          </w:p>
        </w:tc>
        <w:tc>
          <w:tcPr>
            <w:tcW w:w="2970" w:type="dxa"/>
            <w:tcBorders>
              <w:bottom w:val="single" w:sz="12" w:space="0" w:color="auto"/>
            </w:tcBorders>
            <w:shd w:val="clear" w:color="auto" w:fill="auto"/>
          </w:tcPr>
          <w:p w14:paraId="6A0F1B30" w14:textId="77777777" w:rsidR="00745292" w:rsidRPr="00F72D1C" w:rsidRDefault="00745292" w:rsidP="00690A15">
            <w:pPr>
              <w:rPr>
                <w:sz w:val="20"/>
                <w:szCs w:val="20"/>
              </w:rPr>
            </w:pPr>
            <w:r w:rsidRPr="00F72D1C">
              <w:rPr>
                <w:sz w:val="20"/>
                <w:szCs w:val="20"/>
              </w:rPr>
              <w:t>Functional annotation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</w:tcPr>
          <w:p w14:paraId="6092EA76" w14:textId="77777777" w:rsidR="00745292" w:rsidRPr="00F72D1C" w:rsidRDefault="00745292" w:rsidP="00690A1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hd</w:t>
            </w:r>
            <w:proofErr w:type="spellEnd"/>
            <w:proofErr w:type="gramEnd"/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</w:tcPr>
          <w:p w14:paraId="7F398B87" w14:textId="77777777" w:rsidR="00745292" w:rsidRPr="00F72D1C" w:rsidRDefault="00745292" w:rsidP="00690A1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br</w:t>
            </w:r>
            <w:proofErr w:type="spellEnd"/>
            <w:proofErr w:type="gramEnd"/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5DAAB200" w14:textId="77777777" w:rsidR="00745292" w:rsidRDefault="00745292" w:rsidP="00690A1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mt</w:t>
            </w:r>
            <w:proofErr w:type="spellEnd"/>
            <w:proofErr w:type="gramEnd"/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787BA2DB" w14:textId="77777777" w:rsidR="00745292" w:rsidRDefault="00745292" w:rsidP="00690A1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emb</w:t>
            </w:r>
            <w:proofErr w:type="spellEnd"/>
            <w:proofErr w:type="gramEnd"/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3A23AB3D" w14:textId="77777777" w:rsidR="00745292" w:rsidRDefault="00745292" w:rsidP="00690A15">
            <w:pPr>
              <w:jc w:val="center"/>
              <w:rPr>
                <w:sz w:val="20"/>
                <w:szCs w:val="20"/>
              </w:rPr>
            </w:pPr>
          </w:p>
        </w:tc>
      </w:tr>
      <w:tr w:rsidR="00745292" w:rsidRPr="004041C9" w14:paraId="42F23DAB" w14:textId="77777777" w:rsidTr="00AA04B4">
        <w:tc>
          <w:tcPr>
            <w:tcW w:w="468" w:type="dxa"/>
            <w:shd w:val="clear" w:color="auto" w:fill="auto"/>
          </w:tcPr>
          <w:p w14:paraId="43357ABF" w14:textId="77777777" w:rsidR="00745292" w:rsidRPr="00B02AEE" w:rsidRDefault="00891E5F" w:rsidP="00690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45292">
              <w:rPr>
                <w:sz w:val="20"/>
                <w:szCs w:val="20"/>
              </w:rPr>
              <w:t>A</w:t>
            </w:r>
          </w:p>
        </w:tc>
        <w:tc>
          <w:tcPr>
            <w:tcW w:w="2700" w:type="dxa"/>
            <w:shd w:val="clear" w:color="auto" w:fill="auto"/>
          </w:tcPr>
          <w:p w14:paraId="75B2BCFD" w14:textId="77777777" w:rsidR="00745292" w:rsidRPr="001C6C84" w:rsidRDefault="00745292" w:rsidP="00690A15">
            <w:pPr>
              <w:rPr>
                <w:sz w:val="20"/>
                <w:szCs w:val="20"/>
              </w:rPr>
            </w:pPr>
            <w:r w:rsidRPr="001C6C84">
              <w:rPr>
                <w:sz w:val="20"/>
                <w:szCs w:val="20"/>
              </w:rPr>
              <w:t>X:</w:t>
            </w:r>
            <w:r>
              <w:rPr>
                <w:sz w:val="20"/>
                <w:szCs w:val="20"/>
              </w:rPr>
              <w:t xml:space="preserve">      </w:t>
            </w:r>
            <w:r w:rsidRPr="001C6C84">
              <w:rPr>
                <w:sz w:val="20"/>
                <w:szCs w:val="20"/>
              </w:rPr>
              <w:t>361,090</w:t>
            </w:r>
            <w:proofErr w:type="gramStart"/>
            <w:r w:rsidRPr="001C6C84"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  <w:r w:rsidRPr="001C6C84">
              <w:rPr>
                <w:sz w:val="20"/>
                <w:szCs w:val="20"/>
              </w:rPr>
              <w:t>363,368 [-]</w:t>
            </w:r>
          </w:p>
        </w:tc>
        <w:tc>
          <w:tcPr>
            <w:tcW w:w="1440" w:type="dxa"/>
            <w:shd w:val="clear" w:color="auto" w:fill="auto"/>
          </w:tcPr>
          <w:p w14:paraId="65091A50" w14:textId="77777777" w:rsidR="00745292" w:rsidRPr="001C6C84" w:rsidRDefault="00745292" w:rsidP="00690A15">
            <w:pPr>
              <w:rPr>
                <w:sz w:val="20"/>
                <w:szCs w:val="20"/>
              </w:rPr>
            </w:pPr>
            <w:r w:rsidRPr="001C6C84">
              <w:rPr>
                <w:sz w:val="20"/>
                <w:szCs w:val="20"/>
              </w:rPr>
              <w:t>FBgn0010019</w:t>
            </w:r>
          </w:p>
        </w:tc>
        <w:tc>
          <w:tcPr>
            <w:tcW w:w="990" w:type="dxa"/>
            <w:shd w:val="clear" w:color="auto" w:fill="auto"/>
          </w:tcPr>
          <w:p w14:paraId="29435830" w14:textId="77777777" w:rsidR="00745292" w:rsidRPr="00F72D1C" w:rsidRDefault="00745292" w:rsidP="00690A15">
            <w:pPr>
              <w:rPr>
                <w:sz w:val="20"/>
                <w:szCs w:val="20"/>
              </w:rPr>
            </w:pPr>
            <w:r w:rsidRPr="00212369">
              <w:rPr>
                <w:i/>
                <w:sz w:val="20"/>
                <w:szCs w:val="20"/>
              </w:rPr>
              <w:t>C</w:t>
            </w:r>
            <w:r>
              <w:rPr>
                <w:rFonts w:eastAsia="맑은 고딕"/>
                <w:i/>
                <w:sz w:val="20"/>
                <w:szCs w:val="20"/>
                <w:lang w:eastAsia="ko-KR"/>
              </w:rPr>
              <w:t>yp</w:t>
            </w:r>
            <w:r w:rsidRPr="00212369">
              <w:rPr>
                <w:i/>
                <w:sz w:val="20"/>
                <w:szCs w:val="20"/>
              </w:rPr>
              <w:t>4</w:t>
            </w:r>
            <w:r>
              <w:rPr>
                <w:rFonts w:eastAsia="맑은 고딕"/>
                <w:i/>
                <w:sz w:val="20"/>
                <w:szCs w:val="20"/>
                <w:lang w:eastAsia="ko-KR"/>
              </w:rPr>
              <w:t>g</w:t>
            </w:r>
            <w:r w:rsidRPr="00212369">
              <w:rPr>
                <w:i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970" w:type="dxa"/>
            <w:shd w:val="clear" w:color="auto" w:fill="auto"/>
          </w:tcPr>
          <w:p w14:paraId="179AFD36" w14:textId="77777777" w:rsidR="00745292" w:rsidRPr="00F72D1C" w:rsidRDefault="00745292" w:rsidP="00690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Cytochrome P450</w:t>
            </w:r>
          </w:p>
        </w:tc>
        <w:tc>
          <w:tcPr>
            <w:tcW w:w="450" w:type="dxa"/>
            <w:shd w:val="clear" w:color="auto" w:fill="auto"/>
          </w:tcPr>
          <w:p w14:paraId="2FF0B6F1" w14:textId="77777777" w:rsidR="00745292" w:rsidRPr="00DD286C" w:rsidRDefault="00745292" w:rsidP="00690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40A7097A" w14:textId="77777777" w:rsidR="00745292" w:rsidRPr="00DD286C" w:rsidRDefault="00745292" w:rsidP="00690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3236390" w14:textId="77777777" w:rsidR="00745292" w:rsidRPr="00DD286C" w:rsidRDefault="00745292" w:rsidP="00690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FAF67C6" w14:textId="77777777" w:rsidR="00745292" w:rsidRPr="00DD286C" w:rsidRDefault="00745292" w:rsidP="00690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360" w:type="dxa"/>
          </w:tcPr>
          <w:p w14:paraId="672CF650" w14:textId="77777777" w:rsidR="00745292" w:rsidRPr="00DD286C" w:rsidRDefault="00745292" w:rsidP="00690A15">
            <w:pPr>
              <w:jc w:val="center"/>
              <w:rPr>
                <w:sz w:val="20"/>
                <w:szCs w:val="20"/>
              </w:rPr>
            </w:pPr>
          </w:p>
        </w:tc>
      </w:tr>
      <w:tr w:rsidR="00745292" w:rsidRPr="004041C9" w14:paraId="5FA59818" w14:textId="77777777" w:rsidTr="00AA04B4">
        <w:tc>
          <w:tcPr>
            <w:tcW w:w="468" w:type="dxa"/>
            <w:shd w:val="clear" w:color="auto" w:fill="auto"/>
          </w:tcPr>
          <w:p w14:paraId="6234A475" w14:textId="77777777" w:rsidR="00745292" w:rsidRPr="00435EE4" w:rsidRDefault="00891E5F" w:rsidP="00690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45292" w:rsidRPr="00435EE4">
              <w:rPr>
                <w:sz w:val="20"/>
                <w:szCs w:val="20"/>
              </w:rPr>
              <w:t>B</w:t>
            </w:r>
          </w:p>
        </w:tc>
        <w:tc>
          <w:tcPr>
            <w:tcW w:w="2700" w:type="dxa"/>
            <w:shd w:val="clear" w:color="auto" w:fill="auto"/>
          </w:tcPr>
          <w:p w14:paraId="18960675" w14:textId="77777777" w:rsidR="00745292" w:rsidRPr="00435EE4" w:rsidRDefault="00745292" w:rsidP="00690A15">
            <w:pPr>
              <w:rPr>
                <w:sz w:val="20"/>
                <w:szCs w:val="20"/>
              </w:rPr>
            </w:pPr>
            <w:r w:rsidRPr="00435EE4">
              <w:rPr>
                <w:sz w:val="20"/>
                <w:szCs w:val="20"/>
              </w:rPr>
              <w:t>X:</w:t>
            </w:r>
            <w:r>
              <w:rPr>
                <w:sz w:val="20"/>
                <w:szCs w:val="20"/>
              </w:rPr>
              <w:t xml:space="preserve">  </w:t>
            </w:r>
            <w:r w:rsidRPr="00435EE4">
              <w:rPr>
                <w:sz w:val="20"/>
                <w:szCs w:val="20"/>
              </w:rPr>
              <w:t>3,468,569</w:t>
            </w:r>
            <w:proofErr w:type="gramStart"/>
            <w:r w:rsidRPr="00435EE4">
              <w:rPr>
                <w:sz w:val="20"/>
                <w:szCs w:val="20"/>
              </w:rPr>
              <w:t>..</w:t>
            </w:r>
            <w:proofErr w:type="gramEnd"/>
            <w:r w:rsidRPr="00435EE4">
              <w:rPr>
                <w:sz w:val="20"/>
                <w:szCs w:val="20"/>
              </w:rPr>
              <w:t>3,560,757 [+]</w:t>
            </w:r>
          </w:p>
          <w:p w14:paraId="4E8263D6" w14:textId="77777777" w:rsidR="00745292" w:rsidRPr="00435EE4" w:rsidRDefault="00745292" w:rsidP="00690A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B3CDE75" w14:textId="77777777" w:rsidR="00745292" w:rsidRPr="00435EE4" w:rsidRDefault="00745292" w:rsidP="00690A15">
            <w:pPr>
              <w:rPr>
                <w:sz w:val="20"/>
                <w:szCs w:val="20"/>
              </w:rPr>
            </w:pPr>
            <w:r w:rsidRPr="00435EE4">
              <w:rPr>
                <w:sz w:val="20"/>
                <w:szCs w:val="20"/>
              </w:rPr>
              <w:t>FBgn0028961</w:t>
            </w:r>
          </w:p>
          <w:p w14:paraId="692F26E9" w14:textId="77777777" w:rsidR="00745292" w:rsidRPr="00435EE4" w:rsidRDefault="00745292" w:rsidP="00690A1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0F4B4F3" w14:textId="3A5162FF" w:rsidR="00745292" w:rsidRPr="00435EE4" w:rsidRDefault="00745292" w:rsidP="00690A15">
            <w:pPr>
              <w:rPr>
                <w:sz w:val="20"/>
                <w:szCs w:val="20"/>
              </w:rPr>
            </w:pPr>
            <w:r w:rsidRPr="00212369">
              <w:rPr>
                <w:i/>
                <w:sz w:val="20"/>
                <w:szCs w:val="20"/>
              </w:rPr>
              <w:t>AlstR</w:t>
            </w:r>
            <w:r w:rsidR="001A4B14" w:rsidRPr="0074339E">
              <w:rPr>
                <w:rFonts w:eastAsia="Times New Roman"/>
                <w:sz w:val="20"/>
                <w:szCs w:val="20"/>
              </w:rPr>
              <w:t>†</w:t>
            </w:r>
          </w:p>
        </w:tc>
        <w:tc>
          <w:tcPr>
            <w:tcW w:w="2970" w:type="dxa"/>
            <w:shd w:val="clear" w:color="auto" w:fill="auto"/>
          </w:tcPr>
          <w:p w14:paraId="56CEB53A" w14:textId="77777777" w:rsidR="00745292" w:rsidRPr="00435EE4" w:rsidRDefault="00745292" w:rsidP="00690A15">
            <w:pPr>
              <w:rPr>
                <w:sz w:val="20"/>
                <w:szCs w:val="20"/>
              </w:rPr>
            </w:pPr>
            <w:proofErr w:type="gramStart"/>
            <w:r w:rsidRPr="00435EE4">
              <w:rPr>
                <w:sz w:val="20"/>
                <w:szCs w:val="20"/>
              </w:rPr>
              <w:t>neuropeptide</w:t>
            </w:r>
            <w:proofErr w:type="gramEnd"/>
            <w:r w:rsidRPr="00435EE4">
              <w:rPr>
                <w:sz w:val="20"/>
                <w:szCs w:val="20"/>
              </w:rPr>
              <w:t xml:space="preserve"> signaling pathway</w:t>
            </w:r>
          </w:p>
        </w:tc>
        <w:tc>
          <w:tcPr>
            <w:tcW w:w="450" w:type="dxa"/>
            <w:shd w:val="clear" w:color="auto" w:fill="auto"/>
          </w:tcPr>
          <w:p w14:paraId="530B61F0" w14:textId="77777777" w:rsidR="00745292" w:rsidRPr="00DD286C" w:rsidRDefault="00745292" w:rsidP="00690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6B9154B" w14:textId="77777777" w:rsidR="00745292" w:rsidRPr="00DD286C" w:rsidRDefault="00745292" w:rsidP="00690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572C7AC" w14:textId="77777777" w:rsidR="00745292" w:rsidRPr="00DD286C" w:rsidRDefault="00745292" w:rsidP="00690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F62DAD8" w14:textId="77777777" w:rsidR="00745292" w:rsidRPr="00DD286C" w:rsidRDefault="00745292" w:rsidP="00690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14:paraId="5E723D46" w14:textId="77777777" w:rsidR="00745292" w:rsidRPr="00DD286C" w:rsidRDefault="00745292" w:rsidP="00690A15">
            <w:pPr>
              <w:jc w:val="center"/>
              <w:rPr>
                <w:sz w:val="20"/>
                <w:szCs w:val="20"/>
              </w:rPr>
            </w:pPr>
          </w:p>
        </w:tc>
      </w:tr>
      <w:tr w:rsidR="00745292" w:rsidRPr="004041C9" w14:paraId="70056E17" w14:textId="77777777" w:rsidTr="00AA04B4">
        <w:tc>
          <w:tcPr>
            <w:tcW w:w="468" w:type="dxa"/>
            <w:shd w:val="clear" w:color="auto" w:fill="auto"/>
          </w:tcPr>
          <w:p w14:paraId="6EC8BF9C" w14:textId="77777777" w:rsidR="00745292" w:rsidRPr="00435EE4" w:rsidRDefault="00745292" w:rsidP="00690A15">
            <w:pPr>
              <w:jc w:val="center"/>
              <w:rPr>
                <w:sz w:val="20"/>
                <w:szCs w:val="20"/>
              </w:rPr>
            </w:pPr>
            <w:r w:rsidRPr="00435EE4">
              <w:rPr>
                <w:sz w:val="20"/>
                <w:szCs w:val="20"/>
              </w:rPr>
              <w:t>B</w:t>
            </w:r>
          </w:p>
        </w:tc>
        <w:tc>
          <w:tcPr>
            <w:tcW w:w="2700" w:type="dxa"/>
            <w:shd w:val="clear" w:color="auto" w:fill="auto"/>
          </w:tcPr>
          <w:p w14:paraId="266BBD48" w14:textId="77777777" w:rsidR="00745292" w:rsidRPr="00435EE4" w:rsidRDefault="00745292" w:rsidP="00690A15">
            <w:pPr>
              <w:rPr>
                <w:sz w:val="20"/>
                <w:szCs w:val="20"/>
              </w:rPr>
            </w:pPr>
            <w:r w:rsidRPr="00435EE4">
              <w:rPr>
                <w:sz w:val="20"/>
                <w:szCs w:val="20"/>
              </w:rPr>
              <w:t>X:</w:t>
            </w:r>
            <w:r>
              <w:rPr>
                <w:sz w:val="20"/>
                <w:szCs w:val="20"/>
              </w:rPr>
              <w:t xml:space="preserve">  </w:t>
            </w:r>
            <w:r w:rsidRPr="00435EE4">
              <w:rPr>
                <w:sz w:val="20"/>
                <w:szCs w:val="20"/>
              </w:rPr>
              <w:t>3,565,834</w:t>
            </w:r>
            <w:proofErr w:type="gramStart"/>
            <w:r w:rsidRPr="00435EE4">
              <w:rPr>
                <w:sz w:val="20"/>
                <w:szCs w:val="20"/>
              </w:rPr>
              <w:t>..</w:t>
            </w:r>
            <w:proofErr w:type="gramEnd"/>
            <w:r w:rsidRPr="00435EE4">
              <w:rPr>
                <w:sz w:val="20"/>
                <w:szCs w:val="20"/>
              </w:rPr>
              <w:t>3,597,318 [+]</w:t>
            </w:r>
          </w:p>
          <w:p w14:paraId="0E494581" w14:textId="77777777" w:rsidR="00745292" w:rsidRPr="00435EE4" w:rsidRDefault="00745292" w:rsidP="00690A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BFC313E" w14:textId="77777777" w:rsidR="00745292" w:rsidRPr="00435EE4" w:rsidRDefault="00745292" w:rsidP="00690A15">
            <w:pPr>
              <w:rPr>
                <w:sz w:val="20"/>
                <w:szCs w:val="20"/>
              </w:rPr>
            </w:pPr>
            <w:r w:rsidRPr="00435EE4">
              <w:rPr>
                <w:sz w:val="20"/>
                <w:szCs w:val="20"/>
              </w:rPr>
              <w:t>FBgn0023215</w:t>
            </w:r>
          </w:p>
          <w:p w14:paraId="04F9E707" w14:textId="77777777" w:rsidR="00745292" w:rsidRPr="00435EE4" w:rsidRDefault="00745292" w:rsidP="00690A1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220A04F" w14:textId="5F4FA96D" w:rsidR="00745292" w:rsidRPr="00435EE4" w:rsidRDefault="00745292" w:rsidP="001A4B14">
            <w:pPr>
              <w:rPr>
                <w:sz w:val="20"/>
                <w:szCs w:val="20"/>
              </w:rPr>
            </w:pPr>
            <w:r w:rsidRPr="00212369">
              <w:rPr>
                <w:i/>
                <w:sz w:val="20"/>
                <w:szCs w:val="20"/>
              </w:rPr>
              <w:t>Mnt</w:t>
            </w:r>
            <w:r w:rsidR="001A4B14" w:rsidRPr="0074339E">
              <w:rPr>
                <w:rStyle w:val="unicode"/>
                <w:rFonts w:eastAsia="Times New Roman"/>
                <w:sz w:val="20"/>
                <w:szCs w:val="20"/>
              </w:rPr>
              <w:t>‡</w:t>
            </w:r>
          </w:p>
        </w:tc>
        <w:tc>
          <w:tcPr>
            <w:tcW w:w="2970" w:type="dxa"/>
            <w:shd w:val="clear" w:color="auto" w:fill="auto"/>
          </w:tcPr>
          <w:p w14:paraId="38B2A2FC" w14:textId="77777777" w:rsidR="00745292" w:rsidRPr="00435EE4" w:rsidRDefault="00745292" w:rsidP="00690A15">
            <w:pPr>
              <w:rPr>
                <w:sz w:val="20"/>
                <w:szCs w:val="20"/>
              </w:rPr>
            </w:pPr>
            <w:proofErr w:type="gramStart"/>
            <w:r w:rsidRPr="00435EE4">
              <w:rPr>
                <w:sz w:val="20"/>
                <w:szCs w:val="20"/>
              </w:rPr>
              <w:t>neuron</w:t>
            </w:r>
            <w:proofErr w:type="gramEnd"/>
            <w:r w:rsidRPr="00435EE4">
              <w:rPr>
                <w:sz w:val="20"/>
                <w:szCs w:val="20"/>
              </w:rPr>
              <w:t xml:space="preserve"> projection morphogenesis</w:t>
            </w:r>
          </w:p>
        </w:tc>
        <w:tc>
          <w:tcPr>
            <w:tcW w:w="450" w:type="dxa"/>
            <w:shd w:val="clear" w:color="auto" w:fill="auto"/>
          </w:tcPr>
          <w:p w14:paraId="38235E70" w14:textId="77777777" w:rsidR="00745292" w:rsidRPr="00DD286C" w:rsidRDefault="00745292" w:rsidP="00690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3FEAC4B5" w14:textId="77777777" w:rsidR="00745292" w:rsidRPr="00DD286C" w:rsidRDefault="00745292" w:rsidP="00690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C891B50" w14:textId="77777777" w:rsidR="00745292" w:rsidRPr="00DD286C" w:rsidRDefault="00745292" w:rsidP="00690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2E99173" w14:textId="77777777" w:rsidR="00745292" w:rsidRPr="00DD286C" w:rsidRDefault="00745292" w:rsidP="00690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14:paraId="757DA3E5" w14:textId="77777777" w:rsidR="00745292" w:rsidRPr="00DD286C" w:rsidRDefault="00745292" w:rsidP="00690A15">
            <w:pPr>
              <w:jc w:val="center"/>
              <w:rPr>
                <w:sz w:val="20"/>
                <w:szCs w:val="20"/>
              </w:rPr>
            </w:pPr>
          </w:p>
        </w:tc>
      </w:tr>
      <w:tr w:rsidR="00745292" w:rsidRPr="004041C9" w14:paraId="3EA762C7" w14:textId="77777777" w:rsidTr="00AA04B4">
        <w:tc>
          <w:tcPr>
            <w:tcW w:w="468" w:type="dxa"/>
            <w:shd w:val="clear" w:color="auto" w:fill="auto"/>
          </w:tcPr>
          <w:p w14:paraId="1B5D69C2" w14:textId="77777777" w:rsidR="00745292" w:rsidRPr="00435EE4" w:rsidRDefault="00745292" w:rsidP="00690A15">
            <w:pPr>
              <w:jc w:val="center"/>
              <w:rPr>
                <w:sz w:val="20"/>
                <w:szCs w:val="20"/>
              </w:rPr>
            </w:pPr>
            <w:r w:rsidRPr="00435EE4">
              <w:rPr>
                <w:sz w:val="20"/>
                <w:szCs w:val="20"/>
              </w:rPr>
              <w:t>B</w:t>
            </w:r>
          </w:p>
        </w:tc>
        <w:tc>
          <w:tcPr>
            <w:tcW w:w="2700" w:type="dxa"/>
            <w:shd w:val="clear" w:color="auto" w:fill="auto"/>
          </w:tcPr>
          <w:p w14:paraId="69AF05A0" w14:textId="77777777" w:rsidR="00745292" w:rsidRPr="00435EE4" w:rsidRDefault="00745292" w:rsidP="00690A15">
            <w:pPr>
              <w:rPr>
                <w:sz w:val="20"/>
                <w:szCs w:val="20"/>
              </w:rPr>
            </w:pPr>
            <w:r w:rsidRPr="00435EE4">
              <w:rPr>
                <w:sz w:val="20"/>
                <w:szCs w:val="20"/>
              </w:rPr>
              <w:t>X:</w:t>
            </w:r>
            <w:r>
              <w:rPr>
                <w:sz w:val="20"/>
                <w:szCs w:val="20"/>
              </w:rPr>
              <w:t xml:space="preserve">  </w:t>
            </w:r>
            <w:r w:rsidRPr="00435EE4">
              <w:rPr>
                <w:sz w:val="20"/>
                <w:szCs w:val="20"/>
              </w:rPr>
              <w:t>3,696,349</w:t>
            </w:r>
            <w:proofErr w:type="gramStart"/>
            <w:r w:rsidRPr="00435EE4">
              <w:rPr>
                <w:sz w:val="20"/>
                <w:szCs w:val="20"/>
              </w:rPr>
              <w:t>..</w:t>
            </w:r>
            <w:proofErr w:type="gramEnd"/>
            <w:r w:rsidRPr="00435EE4">
              <w:rPr>
                <w:sz w:val="20"/>
                <w:szCs w:val="20"/>
              </w:rPr>
              <w:t>3,705,073 [+]</w:t>
            </w:r>
          </w:p>
          <w:p w14:paraId="7A77B645" w14:textId="77777777" w:rsidR="00745292" w:rsidRPr="00435EE4" w:rsidRDefault="00745292" w:rsidP="00690A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D986B87" w14:textId="77777777" w:rsidR="00745292" w:rsidRPr="00435EE4" w:rsidRDefault="00745292" w:rsidP="00690A15">
            <w:pPr>
              <w:rPr>
                <w:sz w:val="20"/>
                <w:szCs w:val="20"/>
              </w:rPr>
            </w:pPr>
            <w:r w:rsidRPr="00435EE4">
              <w:rPr>
                <w:sz w:val="20"/>
                <w:szCs w:val="20"/>
              </w:rPr>
              <w:t>FBgn0264954</w:t>
            </w:r>
          </w:p>
          <w:p w14:paraId="3B61FAA0" w14:textId="77777777" w:rsidR="00745292" w:rsidRPr="00435EE4" w:rsidRDefault="00745292" w:rsidP="00690A1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8D8AB23" w14:textId="4FC7BB67" w:rsidR="00745292" w:rsidRPr="00AA04B4" w:rsidRDefault="00745292" w:rsidP="00690A1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212369">
              <w:rPr>
                <w:i/>
                <w:sz w:val="20"/>
                <w:szCs w:val="20"/>
              </w:rPr>
              <w:t>d3F</w:t>
            </w:r>
            <w:r w:rsidR="001A4B14" w:rsidRPr="00AA04B4">
              <w:rPr>
                <w:rFonts w:eastAsia="Times New Roman"/>
                <w:sz w:val="20"/>
                <w:szCs w:val="20"/>
              </w:rPr>
              <w:t>§</w:t>
            </w:r>
          </w:p>
          <w:p w14:paraId="6B2A1D7A" w14:textId="77777777" w:rsidR="00745292" w:rsidRPr="00435EE4" w:rsidRDefault="00745292" w:rsidP="00690A1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49B9C143" w14:textId="77777777" w:rsidR="00745292" w:rsidRPr="00435EE4" w:rsidRDefault="00745292" w:rsidP="00690A1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35EE4">
              <w:rPr>
                <w:sz w:val="20"/>
                <w:szCs w:val="20"/>
              </w:rPr>
              <w:t>forkhead</w:t>
            </w:r>
            <w:proofErr w:type="spellEnd"/>
            <w:proofErr w:type="gramEnd"/>
            <w:r w:rsidRPr="00435EE4">
              <w:rPr>
                <w:sz w:val="20"/>
                <w:szCs w:val="20"/>
              </w:rPr>
              <w:t xml:space="preserve"> domain 3F; </w:t>
            </w:r>
            <w:r>
              <w:rPr>
                <w:sz w:val="20"/>
                <w:szCs w:val="20"/>
              </w:rPr>
              <w:t>transcription factor; dendrite morphogenesis</w:t>
            </w:r>
          </w:p>
        </w:tc>
        <w:tc>
          <w:tcPr>
            <w:tcW w:w="450" w:type="dxa"/>
            <w:shd w:val="clear" w:color="auto" w:fill="auto"/>
          </w:tcPr>
          <w:p w14:paraId="76380F90" w14:textId="77777777" w:rsidR="00745292" w:rsidRPr="00DD286C" w:rsidRDefault="00745292" w:rsidP="00690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5FB9FA8D" w14:textId="77777777" w:rsidR="00745292" w:rsidRPr="00DD286C" w:rsidRDefault="00745292" w:rsidP="00690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CCDDB25" w14:textId="77777777" w:rsidR="00745292" w:rsidRPr="00DD286C" w:rsidRDefault="00745292" w:rsidP="00690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05D182D" w14:textId="77777777" w:rsidR="00745292" w:rsidRPr="00DD286C" w:rsidRDefault="00745292" w:rsidP="00690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14:paraId="0E752209" w14:textId="77777777" w:rsidR="00745292" w:rsidRPr="00DD286C" w:rsidRDefault="00745292" w:rsidP="00690A15">
            <w:pPr>
              <w:jc w:val="center"/>
              <w:rPr>
                <w:sz w:val="20"/>
                <w:szCs w:val="20"/>
              </w:rPr>
            </w:pPr>
          </w:p>
        </w:tc>
      </w:tr>
      <w:tr w:rsidR="00745292" w:rsidRPr="004041C9" w14:paraId="611D898E" w14:textId="77777777" w:rsidTr="00AA04B4"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</w:tcPr>
          <w:p w14:paraId="36853448" w14:textId="77777777" w:rsidR="00745292" w:rsidRPr="004C6A81" w:rsidRDefault="00745292" w:rsidP="00690A15">
            <w:pPr>
              <w:jc w:val="center"/>
              <w:rPr>
                <w:sz w:val="20"/>
                <w:szCs w:val="20"/>
              </w:rPr>
            </w:pPr>
            <w:r w:rsidRPr="004C6A8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</w:tcPr>
          <w:p w14:paraId="2F337EDB" w14:textId="77777777" w:rsidR="00745292" w:rsidRPr="004C6A81" w:rsidRDefault="00745292" w:rsidP="00690A15">
            <w:pPr>
              <w:rPr>
                <w:sz w:val="20"/>
                <w:szCs w:val="20"/>
              </w:rPr>
            </w:pPr>
            <w:r w:rsidRPr="004C6A81">
              <w:rPr>
                <w:sz w:val="20"/>
                <w:szCs w:val="20"/>
              </w:rPr>
              <w:t xml:space="preserve"> 2L</w:t>
            </w:r>
            <w:proofErr w:type="gramStart"/>
            <w:r w:rsidRPr="004C6A81">
              <w:rPr>
                <w:sz w:val="20"/>
                <w:szCs w:val="20"/>
              </w:rPr>
              <w:t>:18,487,747</w:t>
            </w:r>
            <w:proofErr w:type="gramEnd"/>
            <w:r w:rsidRPr="004C6A81">
              <w:rPr>
                <w:sz w:val="20"/>
                <w:szCs w:val="20"/>
              </w:rPr>
              <w:t>..18,503,978 [-]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</w:tcPr>
          <w:p w14:paraId="65966316" w14:textId="77777777" w:rsidR="00745292" w:rsidRPr="004C6A81" w:rsidRDefault="00745292" w:rsidP="00690A15">
            <w:pPr>
              <w:rPr>
                <w:sz w:val="20"/>
                <w:szCs w:val="20"/>
              </w:rPr>
            </w:pPr>
            <w:r w:rsidRPr="004C6A81">
              <w:rPr>
                <w:sz w:val="20"/>
                <w:szCs w:val="20"/>
              </w:rPr>
              <w:t>FBgn0032683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shd w:val="clear" w:color="auto" w:fill="auto"/>
          </w:tcPr>
          <w:p w14:paraId="5564206D" w14:textId="257BA1CF" w:rsidR="00745292" w:rsidRPr="00E4125E" w:rsidRDefault="00745292" w:rsidP="00690A15">
            <w:pPr>
              <w:rPr>
                <w:sz w:val="20"/>
                <w:szCs w:val="20"/>
              </w:rPr>
            </w:pPr>
            <w:r w:rsidRPr="00212369">
              <w:rPr>
                <w:i/>
                <w:sz w:val="20"/>
                <w:szCs w:val="20"/>
              </w:rPr>
              <w:t>Kon</w:t>
            </w:r>
            <w:r w:rsidR="001A4B14">
              <w:rPr>
                <w:sz w:val="20"/>
                <w:szCs w:val="20"/>
              </w:rPr>
              <w:t>¶</w:t>
            </w:r>
          </w:p>
        </w:tc>
        <w:tc>
          <w:tcPr>
            <w:tcW w:w="2970" w:type="dxa"/>
            <w:tcBorders>
              <w:bottom w:val="single" w:sz="8" w:space="0" w:color="auto"/>
            </w:tcBorders>
            <w:shd w:val="clear" w:color="auto" w:fill="auto"/>
          </w:tcPr>
          <w:p w14:paraId="7D3CE2D7" w14:textId="77777777" w:rsidR="00745292" w:rsidRPr="001C6C84" w:rsidRDefault="00745292" w:rsidP="00690A15">
            <w:pPr>
              <w:rPr>
                <w:sz w:val="20"/>
                <w:szCs w:val="20"/>
              </w:rPr>
            </w:pPr>
            <w:r w:rsidRPr="001C6C84">
              <w:rPr>
                <w:sz w:val="20"/>
                <w:szCs w:val="20"/>
              </w:rPr>
              <w:t xml:space="preserve">Neurogenesis </w:t>
            </w:r>
          </w:p>
        </w:tc>
        <w:tc>
          <w:tcPr>
            <w:tcW w:w="450" w:type="dxa"/>
            <w:tcBorders>
              <w:bottom w:val="single" w:sz="8" w:space="0" w:color="auto"/>
            </w:tcBorders>
            <w:shd w:val="clear" w:color="auto" w:fill="auto"/>
          </w:tcPr>
          <w:p w14:paraId="23D74BDE" w14:textId="77777777" w:rsidR="00745292" w:rsidRPr="00DD286C" w:rsidRDefault="00745292" w:rsidP="00690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8" w:space="0" w:color="auto"/>
            </w:tcBorders>
            <w:shd w:val="clear" w:color="auto" w:fill="auto"/>
          </w:tcPr>
          <w:p w14:paraId="15863D92" w14:textId="77777777" w:rsidR="00745292" w:rsidRPr="00DD286C" w:rsidRDefault="00745292" w:rsidP="00690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8" w:space="0" w:color="auto"/>
            </w:tcBorders>
          </w:tcPr>
          <w:p w14:paraId="59F4CD2C" w14:textId="77777777" w:rsidR="00745292" w:rsidRPr="00DD286C" w:rsidRDefault="00745292" w:rsidP="00690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14:paraId="1F700799" w14:textId="77777777" w:rsidR="00745292" w:rsidRPr="00DD286C" w:rsidRDefault="00745292" w:rsidP="00690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bottom w:val="single" w:sz="8" w:space="0" w:color="auto"/>
            </w:tcBorders>
          </w:tcPr>
          <w:p w14:paraId="27E040AA" w14:textId="77777777" w:rsidR="00745292" w:rsidRPr="00DD286C" w:rsidRDefault="00745292" w:rsidP="00690A1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BCD782" w14:textId="05FCFB6C" w:rsidR="001A4B14" w:rsidRDefault="001A4B14" w:rsidP="00745292">
      <w:pPr>
        <w:rPr>
          <w:sz w:val="20"/>
          <w:szCs w:val="20"/>
        </w:rPr>
      </w:pPr>
      <w:r w:rsidRPr="001C6C84">
        <w:rPr>
          <w:sz w:val="20"/>
          <w:szCs w:val="20"/>
        </w:rPr>
        <w:t xml:space="preserve">* Waters, L.C., </w:t>
      </w:r>
      <w:proofErr w:type="spellStart"/>
      <w:r w:rsidRPr="001C6C84">
        <w:rPr>
          <w:sz w:val="20"/>
          <w:szCs w:val="20"/>
        </w:rPr>
        <w:t>Zelhof</w:t>
      </w:r>
      <w:proofErr w:type="spellEnd"/>
      <w:r w:rsidRPr="001C6C84">
        <w:rPr>
          <w:sz w:val="20"/>
          <w:szCs w:val="20"/>
        </w:rPr>
        <w:t xml:space="preserve">, A.C., Shaw, B.J., </w:t>
      </w:r>
      <w:proofErr w:type="spellStart"/>
      <w:r w:rsidRPr="001C6C84">
        <w:rPr>
          <w:sz w:val="20"/>
          <w:szCs w:val="20"/>
        </w:rPr>
        <w:t>Ch'ang</w:t>
      </w:r>
      <w:proofErr w:type="spellEnd"/>
      <w:r w:rsidRPr="001C6C84">
        <w:rPr>
          <w:sz w:val="20"/>
          <w:szCs w:val="20"/>
        </w:rPr>
        <w:t xml:space="preserve">, L.Y. (1992). Possible </w:t>
      </w:r>
      <w:proofErr w:type="gramStart"/>
      <w:r w:rsidRPr="001C6C84">
        <w:rPr>
          <w:sz w:val="20"/>
          <w:szCs w:val="20"/>
        </w:rPr>
        <w:t>involvement of the long terminal repeat</w:t>
      </w:r>
      <w:proofErr w:type="gramEnd"/>
      <w:r w:rsidRPr="001C6C84">
        <w:rPr>
          <w:sz w:val="20"/>
          <w:szCs w:val="20"/>
        </w:rPr>
        <w:t xml:space="preserve"> of transposable element 17.6 in regulating expression of an insecticide resistance-associated P450 gene in </w:t>
      </w:r>
      <w:r w:rsidRPr="008B1365">
        <w:rPr>
          <w:i/>
          <w:sz w:val="20"/>
          <w:szCs w:val="20"/>
        </w:rPr>
        <w:t>Drosophila</w:t>
      </w:r>
      <w:r w:rsidRPr="001C6C84">
        <w:rPr>
          <w:sz w:val="20"/>
          <w:szCs w:val="20"/>
        </w:rPr>
        <w:t>. </w:t>
      </w:r>
      <w:r w:rsidRPr="001C6C84">
        <w:rPr>
          <w:rStyle w:val="italics"/>
          <w:sz w:val="20"/>
          <w:szCs w:val="20"/>
        </w:rPr>
        <w:t xml:space="preserve"> Proc. Natl. Acad. Sci. U.S.A. </w:t>
      </w:r>
      <w:r w:rsidRPr="001C6C84">
        <w:rPr>
          <w:rStyle w:val="bold"/>
          <w:sz w:val="20"/>
          <w:szCs w:val="20"/>
        </w:rPr>
        <w:t>89</w:t>
      </w:r>
      <w:r>
        <w:rPr>
          <w:sz w:val="20"/>
          <w:szCs w:val="20"/>
        </w:rPr>
        <w:t>: 4855-</w:t>
      </w:r>
      <w:r w:rsidRPr="001C6C84">
        <w:rPr>
          <w:sz w:val="20"/>
          <w:szCs w:val="20"/>
        </w:rPr>
        <w:t>4859.</w:t>
      </w:r>
    </w:p>
    <w:p w14:paraId="77DEEC08" w14:textId="3C659653" w:rsidR="001A4B14" w:rsidRDefault="001A4B14" w:rsidP="001A4B14">
      <w:pPr>
        <w:rPr>
          <w:sz w:val="20"/>
          <w:szCs w:val="20"/>
        </w:rPr>
      </w:pPr>
      <w:r w:rsidRPr="0074339E">
        <w:rPr>
          <w:rFonts w:eastAsia="Times New Roman"/>
          <w:sz w:val="20"/>
          <w:szCs w:val="20"/>
        </w:rPr>
        <w:t>†</w:t>
      </w:r>
      <w:r w:rsidRPr="00435EE4">
        <w:rPr>
          <w:sz w:val="20"/>
          <w:szCs w:val="20"/>
        </w:rPr>
        <w:t xml:space="preserve"> </w:t>
      </w:r>
      <w:proofErr w:type="spellStart"/>
      <w:r w:rsidRPr="00435EE4">
        <w:rPr>
          <w:sz w:val="20"/>
          <w:szCs w:val="20"/>
        </w:rPr>
        <w:t>Hewes</w:t>
      </w:r>
      <w:proofErr w:type="spellEnd"/>
      <w:r w:rsidRPr="00435EE4">
        <w:rPr>
          <w:sz w:val="20"/>
          <w:szCs w:val="20"/>
        </w:rPr>
        <w:t xml:space="preserve">, R.S., </w:t>
      </w:r>
      <w:proofErr w:type="spellStart"/>
      <w:r w:rsidRPr="00435EE4">
        <w:rPr>
          <w:sz w:val="20"/>
          <w:szCs w:val="20"/>
        </w:rPr>
        <w:t>Taghert</w:t>
      </w:r>
      <w:proofErr w:type="spellEnd"/>
      <w:r w:rsidRPr="00435EE4">
        <w:rPr>
          <w:sz w:val="20"/>
          <w:szCs w:val="20"/>
        </w:rPr>
        <w:t xml:space="preserve">, P.H. (2001). </w:t>
      </w:r>
      <w:proofErr w:type="gramStart"/>
      <w:r w:rsidRPr="00435EE4">
        <w:rPr>
          <w:sz w:val="20"/>
          <w:szCs w:val="20"/>
        </w:rPr>
        <w:t xml:space="preserve">Neuropeptides and neuropeptide receptors in the </w:t>
      </w:r>
      <w:r w:rsidRPr="00A94D3E">
        <w:rPr>
          <w:i/>
          <w:sz w:val="20"/>
          <w:szCs w:val="20"/>
        </w:rPr>
        <w:t>Drosophila melanogaster</w:t>
      </w:r>
      <w:r w:rsidRPr="00435EE4">
        <w:rPr>
          <w:sz w:val="20"/>
          <w:szCs w:val="20"/>
        </w:rPr>
        <w:t xml:space="preserve"> genome.</w:t>
      </w:r>
      <w:proofErr w:type="gramEnd"/>
      <w:r w:rsidRPr="00435EE4">
        <w:rPr>
          <w:sz w:val="20"/>
          <w:szCs w:val="20"/>
        </w:rPr>
        <w:t> </w:t>
      </w:r>
      <w:r w:rsidRPr="00435EE4">
        <w:rPr>
          <w:rStyle w:val="italics"/>
          <w:sz w:val="20"/>
          <w:szCs w:val="20"/>
        </w:rPr>
        <w:t xml:space="preserve"> Genome Res. </w:t>
      </w:r>
      <w:r w:rsidRPr="00435EE4">
        <w:rPr>
          <w:rStyle w:val="bold"/>
          <w:sz w:val="20"/>
          <w:szCs w:val="20"/>
        </w:rPr>
        <w:t>11(6)</w:t>
      </w:r>
      <w:r w:rsidRPr="00435EE4">
        <w:rPr>
          <w:sz w:val="20"/>
          <w:szCs w:val="20"/>
        </w:rPr>
        <w:t>: 1126-1142</w:t>
      </w:r>
      <w:r>
        <w:rPr>
          <w:sz w:val="20"/>
          <w:szCs w:val="20"/>
        </w:rPr>
        <w:t>.</w:t>
      </w:r>
    </w:p>
    <w:p w14:paraId="46CFF80A" w14:textId="1C596A16" w:rsidR="001A4B14" w:rsidRPr="00435EE4" w:rsidRDefault="001A4B14" w:rsidP="001A4B14">
      <w:pPr>
        <w:rPr>
          <w:sz w:val="20"/>
          <w:szCs w:val="20"/>
        </w:rPr>
      </w:pPr>
      <w:r w:rsidRPr="0074339E">
        <w:rPr>
          <w:rStyle w:val="unicode"/>
          <w:rFonts w:eastAsia="Times New Roman"/>
          <w:sz w:val="20"/>
          <w:szCs w:val="20"/>
        </w:rPr>
        <w:t>‡</w:t>
      </w:r>
      <w:r>
        <w:rPr>
          <w:sz w:val="20"/>
          <w:szCs w:val="20"/>
        </w:rPr>
        <w:t xml:space="preserve"> </w:t>
      </w:r>
      <w:proofErr w:type="spellStart"/>
      <w:r w:rsidRPr="00435EE4">
        <w:rPr>
          <w:sz w:val="20"/>
          <w:szCs w:val="20"/>
        </w:rPr>
        <w:t>Sepp</w:t>
      </w:r>
      <w:proofErr w:type="spellEnd"/>
      <w:r w:rsidRPr="00435EE4">
        <w:rPr>
          <w:sz w:val="20"/>
          <w:szCs w:val="20"/>
        </w:rPr>
        <w:t xml:space="preserve">, K.J., Hong, P., </w:t>
      </w:r>
      <w:proofErr w:type="spellStart"/>
      <w:r w:rsidRPr="00435EE4">
        <w:rPr>
          <w:sz w:val="20"/>
          <w:szCs w:val="20"/>
        </w:rPr>
        <w:t>Lizarraga</w:t>
      </w:r>
      <w:proofErr w:type="spellEnd"/>
      <w:r w:rsidRPr="00435EE4">
        <w:rPr>
          <w:sz w:val="20"/>
          <w:szCs w:val="20"/>
        </w:rPr>
        <w:t xml:space="preserve">, S.B., Liu, J.S., Mejia, L.A., Walsh, C.A., </w:t>
      </w:r>
      <w:proofErr w:type="spellStart"/>
      <w:r w:rsidRPr="00435EE4">
        <w:rPr>
          <w:sz w:val="20"/>
          <w:szCs w:val="20"/>
        </w:rPr>
        <w:t>Perrimon</w:t>
      </w:r>
      <w:proofErr w:type="spellEnd"/>
      <w:r w:rsidRPr="00435EE4">
        <w:rPr>
          <w:sz w:val="20"/>
          <w:szCs w:val="20"/>
        </w:rPr>
        <w:t xml:space="preserve">, N. (2008). </w:t>
      </w:r>
      <w:proofErr w:type="gramStart"/>
      <w:r w:rsidRPr="00435EE4">
        <w:rPr>
          <w:sz w:val="20"/>
          <w:szCs w:val="20"/>
        </w:rPr>
        <w:t xml:space="preserve">Identification of neural outgrowth genes using genome-wide </w:t>
      </w:r>
      <w:proofErr w:type="spellStart"/>
      <w:r w:rsidRPr="00435EE4">
        <w:rPr>
          <w:sz w:val="20"/>
          <w:szCs w:val="20"/>
        </w:rPr>
        <w:t>RNAi</w:t>
      </w:r>
      <w:proofErr w:type="spellEnd"/>
      <w:r w:rsidRPr="00435EE4">
        <w:rPr>
          <w:sz w:val="20"/>
          <w:szCs w:val="20"/>
        </w:rPr>
        <w:t>.</w:t>
      </w:r>
      <w:proofErr w:type="gramEnd"/>
      <w:r w:rsidRPr="00435EE4">
        <w:rPr>
          <w:sz w:val="20"/>
          <w:szCs w:val="20"/>
        </w:rPr>
        <w:t> </w:t>
      </w:r>
      <w:r w:rsidRPr="00435EE4">
        <w:rPr>
          <w:rStyle w:val="italics"/>
          <w:sz w:val="20"/>
          <w:szCs w:val="20"/>
        </w:rPr>
        <w:t xml:space="preserve"> </w:t>
      </w:r>
      <w:proofErr w:type="spellStart"/>
      <w:r w:rsidRPr="00435EE4">
        <w:rPr>
          <w:rStyle w:val="italics"/>
          <w:sz w:val="20"/>
          <w:szCs w:val="20"/>
        </w:rPr>
        <w:t>PLoS</w:t>
      </w:r>
      <w:proofErr w:type="spellEnd"/>
      <w:r w:rsidRPr="00435EE4">
        <w:rPr>
          <w:rStyle w:val="italics"/>
          <w:sz w:val="20"/>
          <w:szCs w:val="20"/>
        </w:rPr>
        <w:t xml:space="preserve"> Genet. </w:t>
      </w:r>
      <w:r w:rsidRPr="00435EE4">
        <w:rPr>
          <w:rStyle w:val="bold"/>
          <w:sz w:val="20"/>
          <w:szCs w:val="20"/>
        </w:rPr>
        <w:t>4(7)</w:t>
      </w:r>
      <w:r w:rsidRPr="00435EE4">
        <w:rPr>
          <w:sz w:val="20"/>
          <w:szCs w:val="20"/>
        </w:rPr>
        <w:t>: e1000111.</w:t>
      </w:r>
    </w:p>
    <w:p w14:paraId="3E164842" w14:textId="56F5DF19" w:rsidR="001A4B14" w:rsidRPr="001A4B14" w:rsidRDefault="001A4B14" w:rsidP="001A4B14">
      <w:pPr>
        <w:rPr>
          <w:sz w:val="20"/>
          <w:szCs w:val="20"/>
        </w:rPr>
      </w:pPr>
      <w:r w:rsidRPr="0074339E">
        <w:rPr>
          <w:rFonts w:eastAsia="Times New Roman"/>
          <w:sz w:val="20"/>
          <w:szCs w:val="20"/>
        </w:rPr>
        <w:t>§</w:t>
      </w:r>
      <w:r w:rsidR="00A46447">
        <w:rPr>
          <w:rFonts w:eastAsia="Times New Roman"/>
          <w:sz w:val="20"/>
          <w:szCs w:val="20"/>
        </w:rPr>
        <w:t xml:space="preserve"> Lee, H.H., </w:t>
      </w:r>
      <w:proofErr w:type="spellStart"/>
      <w:r w:rsidR="00A46447">
        <w:rPr>
          <w:rFonts w:eastAsia="Times New Roman"/>
          <w:sz w:val="20"/>
          <w:szCs w:val="20"/>
        </w:rPr>
        <w:t>Frasch</w:t>
      </w:r>
      <w:proofErr w:type="spellEnd"/>
      <w:r w:rsidR="00A46447">
        <w:rPr>
          <w:rFonts w:eastAsia="Times New Roman"/>
          <w:sz w:val="20"/>
          <w:szCs w:val="20"/>
        </w:rPr>
        <w:t xml:space="preserve">, M. (2004). Survey of </w:t>
      </w:r>
      <w:proofErr w:type="spellStart"/>
      <w:r w:rsidR="00A46447">
        <w:rPr>
          <w:rFonts w:eastAsia="Times New Roman"/>
          <w:sz w:val="20"/>
          <w:szCs w:val="20"/>
        </w:rPr>
        <w:t>forkhead</w:t>
      </w:r>
      <w:proofErr w:type="spellEnd"/>
      <w:r w:rsidR="00A46447">
        <w:rPr>
          <w:rFonts w:eastAsia="Times New Roman"/>
          <w:sz w:val="20"/>
          <w:szCs w:val="20"/>
        </w:rPr>
        <w:t xml:space="preserve"> domain encoding genes in the Drosophila genome: classification and embryonic expression patterns. Dev. </w:t>
      </w:r>
      <w:proofErr w:type="spellStart"/>
      <w:r w:rsidR="00A46447">
        <w:rPr>
          <w:rFonts w:eastAsia="Times New Roman"/>
          <w:sz w:val="20"/>
          <w:szCs w:val="20"/>
        </w:rPr>
        <w:t>Dyn</w:t>
      </w:r>
      <w:proofErr w:type="spellEnd"/>
      <w:r w:rsidR="00A46447">
        <w:rPr>
          <w:rFonts w:eastAsia="Times New Roman"/>
          <w:sz w:val="20"/>
          <w:szCs w:val="20"/>
        </w:rPr>
        <w:t>. 229(2): 357-366.</w:t>
      </w:r>
    </w:p>
    <w:p w14:paraId="4398F043" w14:textId="32902160" w:rsidR="007C3940" w:rsidRDefault="001A4B14">
      <w:proofErr w:type="gramStart"/>
      <w:r>
        <w:rPr>
          <w:sz w:val="20"/>
          <w:szCs w:val="20"/>
        </w:rPr>
        <w:t>¶</w:t>
      </w:r>
      <w:r w:rsidR="00745292" w:rsidRPr="004C6A81">
        <w:rPr>
          <w:sz w:val="20"/>
          <w:szCs w:val="20"/>
        </w:rPr>
        <w:t xml:space="preserve"> </w:t>
      </w:r>
      <w:proofErr w:type="spellStart"/>
      <w:r w:rsidR="00745292" w:rsidRPr="004C6A81">
        <w:rPr>
          <w:sz w:val="20"/>
          <w:szCs w:val="20"/>
        </w:rPr>
        <w:t>Neumüller</w:t>
      </w:r>
      <w:proofErr w:type="spellEnd"/>
      <w:r w:rsidR="00745292" w:rsidRPr="004C6A81">
        <w:rPr>
          <w:sz w:val="20"/>
          <w:szCs w:val="20"/>
        </w:rPr>
        <w:t xml:space="preserve">, R.A., Richter, C., Fischer, A., </w:t>
      </w:r>
      <w:proofErr w:type="spellStart"/>
      <w:r w:rsidR="00745292" w:rsidRPr="004C6A81">
        <w:rPr>
          <w:sz w:val="20"/>
          <w:szCs w:val="20"/>
        </w:rPr>
        <w:t>Novatchkova</w:t>
      </w:r>
      <w:proofErr w:type="spellEnd"/>
      <w:r w:rsidR="00745292" w:rsidRPr="004C6A81">
        <w:rPr>
          <w:sz w:val="20"/>
          <w:szCs w:val="20"/>
        </w:rPr>
        <w:t xml:space="preserve">, M., </w:t>
      </w:r>
      <w:proofErr w:type="spellStart"/>
      <w:r w:rsidR="00745292" w:rsidRPr="004C6A81">
        <w:rPr>
          <w:sz w:val="20"/>
          <w:szCs w:val="20"/>
        </w:rPr>
        <w:t>Neumüller</w:t>
      </w:r>
      <w:proofErr w:type="spellEnd"/>
      <w:r w:rsidR="00745292" w:rsidRPr="004C6A81">
        <w:rPr>
          <w:sz w:val="20"/>
          <w:szCs w:val="20"/>
        </w:rPr>
        <w:t xml:space="preserve">, K.G., </w:t>
      </w:r>
      <w:proofErr w:type="spellStart"/>
      <w:r w:rsidR="00745292" w:rsidRPr="004C6A81">
        <w:rPr>
          <w:sz w:val="20"/>
          <w:szCs w:val="20"/>
        </w:rPr>
        <w:t>Knoblich</w:t>
      </w:r>
      <w:proofErr w:type="spellEnd"/>
      <w:r w:rsidR="00745292" w:rsidRPr="004C6A81">
        <w:rPr>
          <w:sz w:val="20"/>
          <w:szCs w:val="20"/>
        </w:rPr>
        <w:t>, J.A. (2011)</w:t>
      </w:r>
      <w:r w:rsidR="00745292">
        <w:rPr>
          <w:sz w:val="20"/>
          <w:szCs w:val="20"/>
        </w:rPr>
        <w:t>.</w:t>
      </w:r>
      <w:proofErr w:type="gramEnd"/>
      <w:r w:rsidR="00745292">
        <w:rPr>
          <w:sz w:val="20"/>
          <w:szCs w:val="20"/>
        </w:rPr>
        <w:t xml:space="preserve"> </w:t>
      </w:r>
      <w:proofErr w:type="gramStart"/>
      <w:r w:rsidR="00745292">
        <w:rPr>
          <w:sz w:val="20"/>
          <w:szCs w:val="20"/>
        </w:rPr>
        <w:t xml:space="preserve">Genome-wide analysis of self-renewal in </w:t>
      </w:r>
      <w:r w:rsidR="00745292" w:rsidRPr="008B1365">
        <w:rPr>
          <w:i/>
          <w:sz w:val="20"/>
          <w:szCs w:val="20"/>
        </w:rPr>
        <w:t>Drosophila</w:t>
      </w:r>
      <w:r w:rsidR="00745292">
        <w:rPr>
          <w:sz w:val="20"/>
          <w:szCs w:val="20"/>
        </w:rPr>
        <w:t xml:space="preserve"> neural stem cells by transgenic </w:t>
      </w:r>
      <w:proofErr w:type="spellStart"/>
      <w:r w:rsidR="00745292">
        <w:rPr>
          <w:sz w:val="20"/>
          <w:szCs w:val="20"/>
        </w:rPr>
        <w:t>RNAi</w:t>
      </w:r>
      <w:proofErr w:type="spellEnd"/>
      <w:r w:rsidR="00745292">
        <w:rPr>
          <w:sz w:val="20"/>
          <w:szCs w:val="20"/>
        </w:rPr>
        <w:t>.</w:t>
      </w:r>
      <w:proofErr w:type="gramEnd"/>
      <w:r w:rsidR="005900F0">
        <w:rPr>
          <w:sz w:val="20"/>
          <w:szCs w:val="20"/>
        </w:rPr>
        <w:t xml:space="preserve"> Cell Stem Cell. 8(5): 580-593.</w:t>
      </w:r>
    </w:p>
    <w:sectPr w:rsidR="007C3940" w:rsidSect="00745292">
      <w:pgSz w:w="15840" w:h="12240" w:orient="landscape"/>
      <w:pgMar w:top="1800" w:right="720" w:bottom="180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맑은 고딕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92"/>
    <w:rsid w:val="000576AF"/>
    <w:rsid w:val="001A4B14"/>
    <w:rsid w:val="005900F0"/>
    <w:rsid w:val="005E3BA7"/>
    <w:rsid w:val="00690A15"/>
    <w:rsid w:val="00732CC0"/>
    <w:rsid w:val="00745292"/>
    <w:rsid w:val="00770FE0"/>
    <w:rsid w:val="007C1431"/>
    <w:rsid w:val="007C3940"/>
    <w:rsid w:val="00891E5F"/>
    <w:rsid w:val="00914E71"/>
    <w:rsid w:val="00A46447"/>
    <w:rsid w:val="00AA04B4"/>
    <w:rsid w:val="00DC55DA"/>
    <w:rsid w:val="00E4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F64A5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92"/>
    <w:rPr>
      <w:rFonts w:eastAsia="MS Minch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45292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745292"/>
    <w:rPr>
      <w:lang w:val="x-none"/>
    </w:rPr>
  </w:style>
  <w:style w:type="character" w:customStyle="1" w:styleId="CommentTextChar">
    <w:name w:val="Comment Text Char"/>
    <w:basedOn w:val="DefaultParagraphFont"/>
    <w:link w:val="CommentText"/>
    <w:semiHidden/>
    <w:rsid w:val="00745292"/>
    <w:rPr>
      <w:rFonts w:eastAsia="MS Mincho"/>
      <w:sz w:val="24"/>
      <w:szCs w:val="24"/>
      <w:lang w:val="x-none" w:eastAsia="en-US"/>
    </w:rPr>
  </w:style>
  <w:style w:type="character" w:customStyle="1" w:styleId="italics">
    <w:name w:val="italics"/>
    <w:basedOn w:val="DefaultParagraphFont"/>
    <w:rsid w:val="00745292"/>
  </w:style>
  <w:style w:type="character" w:customStyle="1" w:styleId="bold">
    <w:name w:val="bold"/>
    <w:basedOn w:val="DefaultParagraphFont"/>
    <w:rsid w:val="00745292"/>
  </w:style>
  <w:style w:type="paragraph" w:styleId="BalloonText">
    <w:name w:val="Balloon Text"/>
    <w:basedOn w:val="Normal"/>
    <w:link w:val="BalloonTextChar"/>
    <w:uiPriority w:val="99"/>
    <w:semiHidden/>
    <w:unhideWhenUsed/>
    <w:rsid w:val="007452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292"/>
    <w:rPr>
      <w:rFonts w:ascii="Lucida Grande" w:eastAsia="MS Mincho" w:hAnsi="Lucida Grande" w:cs="Lucida Grande"/>
      <w:sz w:val="18"/>
      <w:szCs w:val="18"/>
      <w:lang w:eastAsia="en-US"/>
    </w:rPr>
  </w:style>
  <w:style w:type="character" w:customStyle="1" w:styleId="unicode">
    <w:name w:val="unicode"/>
    <w:basedOn w:val="DefaultParagraphFont"/>
    <w:rsid w:val="001A4B14"/>
  </w:style>
  <w:style w:type="paragraph" w:styleId="Revision">
    <w:name w:val="Revision"/>
    <w:hidden/>
    <w:uiPriority w:val="99"/>
    <w:semiHidden/>
    <w:rsid w:val="00AA04B4"/>
    <w:rPr>
      <w:rFonts w:eastAsia="MS Mincho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92"/>
    <w:rPr>
      <w:rFonts w:eastAsia="MS Minch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45292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745292"/>
    <w:rPr>
      <w:lang w:val="x-none"/>
    </w:rPr>
  </w:style>
  <w:style w:type="character" w:customStyle="1" w:styleId="CommentTextChar">
    <w:name w:val="Comment Text Char"/>
    <w:basedOn w:val="DefaultParagraphFont"/>
    <w:link w:val="CommentText"/>
    <w:semiHidden/>
    <w:rsid w:val="00745292"/>
    <w:rPr>
      <w:rFonts w:eastAsia="MS Mincho"/>
      <w:sz w:val="24"/>
      <w:szCs w:val="24"/>
      <w:lang w:val="x-none" w:eastAsia="en-US"/>
    </w:rPr>
  </w:style>
  <w:style w:type="character" w:customStyle="1" w:styleId="italics">
    <w:name w:val="italics"/>
    <w:basedOn w:val="DefaultParagraphFont"/>
    <w:rsid w:val="00745292"/>
  </w:style>
  <w:style w:type="character" w:customStyle="1" w:styleId="bold">
    <w:name w:val="bold"/>
    <w:basedOn w:val="DefaultParagraphFont"/>
    <w:rsid w:val="00745292"/>
  </w:style>
  <w:style w:type="paragraph" w:styleId="BalloonText">
    <w:name w:val="Balloon Text"/>
    <w:basedOn w:val="Normal"/>
    <w:link w:val="BalloonTextChar"/>
    <w:uiPriority w:val="99"/>
    <w:semiHidden/>
    <w:unhideWhenUsed/>
    <w:rsid w:val="007452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292"/>
    <w:rPr>
      <w:rFonts w:ascii="Lucida Grande" w:eastAsia="MS Mincho" w:hAnsi="Lucida Grande" w:cs="Lucida Grande"/>
      <w:sz w:val="18"/>
      <w:szCs w:val="18"/>
      <w:lang w:eastAsia="en-US"/>
    </w:rPr>
  </w:style>
  <w:style w:type="character" w:customStyle="1" w:styleId="unicode">
    <w:name w:val="unicode"/>
    <w:basedOn w:val="DefaultParagraphFont"/>
    <w:rsid w:val="001A4B14"/>
  </w:style>
  <w:style w:type="paragraph" w:styleId="Revision">
    <w:name w:val="Revision"/>
    <w:hidden/>
    <w:uiPriority w:val="99"/>
    <w:semiHidden/>
    <w:rsid w:val="00AA04B4"/>
    <w:rPr>
      <w:rFonts w:eastAsia="MS Minch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1867</Characters>
  <Application>Microsoft Macintosh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8</cp:revision>
  <dcterms:created xsi:type="dcterms:W3CDTF">2014-06-25T20:30:00Z</dcterms:created>
  <dcterms:modified xsi:type="dcterms:W3CDTF">2014-09-03T00:51:00Z</dcterms:modified>
</cp:coreProperties>
</file>