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77E" w:rsidRPr="00356F7D" w:rsidRDefault="0066477E" w:rsidP="0066477E">
      <w:pPr>
        <w:spacing w:after="0"/>
        <w:rPr>
          <w:rFonts w:cs="Times New Roman"/>
        </w:rPr>
      </w:pPr>
      <w:r w:rsidRPr="00356F7D">
        <w:rPr>
          <w:rFonts w:cs="Times New Roman"/>
          <w:b/>
        </w:rPr>
        <w:t xml:space="preserve">Table </w:t>
      </w:r>
      <w:r w:rsidR="003F50D3">
        <w:rPr>
          <w:rFonts w:cs="Times New Roman"/>
          <w:b/>
        </w:rPr>
        <w:t>S</w:t>
      </w:r>
      <w:r w:rsidR="007324CC">
        <w:rPr>
          <w:rFonts w:cs="Times New Roman"/>
          <w:b/>
        </w:rPr>
        <w:t>8</w:t>
      </w:r>
      <w:r w:rsidRPr="00356F7D">
        <w:rPr>
          <w:rFonts w:cs="Times New Roman"/>
          <w:b/>
        </w:rPr>
        <w:t>.</w:t>
      </w:r>
      <w:r w:rsidRPr="00356F7D">
        <w:rPr>
          <w:rFonts w:cs="Times New Roman"/>
        </w:rPr>
        <w:t xml:space="preserve"> </w:t>
      </w:r>
      <w:proofErr w:type="gramStart"/>
      <w:r w:rsidR="003F50D3">
        <w:rPr>
          <w:rFonts w:cs="Times New Roman"/>
        </w:rPr>
        <w:t>Brain region name abbreviations.</w:t>
      </w:r>
      <w:proofErr w:type="gramEnd"/>
    </w:p>
    <w:tbl>
      <w:tblPr>
        <w:tblW w:w="32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3460"/>
      </w:tblGrid>
      <w:tr w:rsidR="008C5CF4" w:rsidRPr="003F50D3" w:rsidTr="00CC3E78">
        <w:tc>
          <w:tcPr>
            <w:tcW w:w="2240" w:type="pct"/>
            <w:shd w:val="clear" w:color="auto" w:fill="auto"/>
          </w:tcPr>
          <w:p w:rsidR="008C5CF4" w:rsidRPr="003F50D3" w:rsidRDefault="008C5CF4" w:rsidP="008C5CF4">
            <w:pPr>
              <w:spacing w:after="0"/>
              <w:rPr>
                <w:rFonts w:cs="Times New Roman"/>
                <w:b/>
              </w:rPr>
            </w:pPr>
            <w:r>
              <w:rPr>
                <w:rFonts w:cs="Times New Roman"/>
                <w:b/>
              </w:rPr>
              <w:t>R</w:t>
            </w:r>
            <w:r w:rsidRPr="003F50D3">
              <w:rPr>
                <w:rFonts w:cs="Times New Roman"/>
                <w:b/>
              </w:rPr>
              <w:t>egion name abbreviation</w:t>
            </w:r>
          </w:p>
        </w:tc>
        <w:tc>
          <w:tcPr>
            <w:tcW w:w="2760" w:type="pct"/>
          </w:tcPr>
          <w:p w:rsidR="008C5CF4" w:rsidRPr="003F50D3" w:rsidRDefault="008C5CF4" w:rsidP="008C5CF4">
            <w:pPr>
              <w:spacing w:after="0"/>
              <w:rPr>
                <w:rFonts w:cs="Times New Roman"/>
                <w:b/>
                <w:bCs/>
              </w:rPr>
            </w:pPr>
            <w:r>
              <w:rPr>
                <w:rFonts w:cs="Times New Roman"/>
                <w:b/>
                <w:bCs/>
              </w:rPr>
              <w:t>Full r</w:t>
            </w:r>
            <w:r w:rsidRPr="003F50D3">
              <w:rPr>
                <w:rFonts w:cs="Times New Roman"/>
                <w:b/>
                <w:bCs/>
              </w:rPr>
              <w:t>egion name</w:t>
            </w:r>
          </w:p>
        </w:tc>
      </w:tr>
      <w:tr w:rsidR="008C5CF4" w:rsidRPr="007235DA" w:rsidTr="00CC3E78">
        <w:tc>
          <w:tcPr>
            <w:tcW w:w="2240" w:type="pct"/>
            <w:shd w:val="clear" w:color="auto" w:fill="auto"/>
          </w:tcPr>
          <w:p w:rsidR="008C5CF4" w:rsidRPr="007235DA" w:rsidRDefault="008C5CF4" w:rsidP="008C5CF4">
            <w:pPr>
              <w:spacing w:after="0"/>
              <w:jc w:val="left"/>
              <w:rPr>
                <w:rFonts w:cs="Times New Roman"/>
              </w:rPr>
            </w:pPr>
            <w:r w:rsidRPr="007235DA">
              <w:rPr>
                <w:rFonts w:cs="Times New Roman"/>
              </w:rPr>
              <w:t>dlPFC</w:t>
            </w:r>
          </w:p>
        </w:tc>
        <w:tc>
          <w:tcPr>
            <w:tcW w:w="2760" w:type="pct"/>
          </w:tcPr>
          <w:p w:rsidR="008C5CF4" w:rsidRPr="007235DA" w:rsidRDefault="008C5CF4" w:rsidP="008C5CF4">
            <w:pPr>
              <w:spacing w:after="0"/>
              <w:jc w:val="left"/>
              <w:rPr>
                <w:rFonts w:cs="Times New Roman"/>
                <w:bCs/>
              </w:rPr>
            </w:pPr>
            <w:r w:rsidRPr="007235DA">
              <w:rPr>
                <w:rFonts w:cs="Times New Roman"/>
                <w:bCs/>
              </w:rPr>
              <w:t>Dorsolateral prefrontal cortex</w:t>
            </w:r>
          </w:p>
        </w:tc>
      </w:tr>
      <w:tr w:rsidR="008C5CF4" w:rsidRPr="007235DA" w:rsidTr="00CC3E78">
        <w:tc>
          <w:tcPr>
            <w:tcW w:w="2240" w:type="pct"/>
            <w:shd w:val="clear" w:color="auto" w:fill="auto"/>
          </w:tcPr>
          <w:p w:rsidR="008C5CF4" w:rsidRPr="007235DA" w:rsidRDefault="008C5CF4" w:rsidP="008C5CF4">
            <w:pPr>
              <w:spacing w:after="0"/>
              <w:jc w:val="left"/>
              <w:rPr>
                <w:rFonts w:cs="Times New Roman"/>
              </w:rPr>
            </w:pPr>
            <w:r w:rsidRPr="007235DA">
              <w:rPr>
                <w:rFonts w:cs="Times New Roman"/>
              </w:rPr>
              <w:t>dmPFC</w:t>
            </w:r>
          </w:p>
        </w:tc>
        <w:tc>
          <w:tcPr>
            <w:tcW w:w="2760" w:type="pct"/>
          </w:tcPr>
          <w:p w:rsidR="008C5CF4" w:rsidRPr="007235DA" w:rsidRDefault="008C5CF4" w:rsidP="008C5CF4">
            <w:pPr>
              <w:spacing w:after="0"/>
              <w:jc w:val="left"/>
              <w:rPr>
                <w:rFonts w:cs="Times New Roman"/>
                <w:bCs/>
              </w:rPr>
            </w:pPr>
            <w:r w:rsidRPr="007235DA">
              <w:rPr>
                <w:rFonts w:cs="Times New Roman"/>
                <w:bCs/>
              </w:rPr>
              <w:t>Dorsomedial prefrontal cortex</w:t>
            </w:r>
          </w:p>
        </w:tc>
      </w:tr>
      <w:tr w:rsidR="008C5CF4" w:rsidRPr="007235DA" w:rsidTr="00CC3E78">
        <w:tc>
          <w:tcPr>
            <w:tcW w:w="2240" w:type="pct"/>
            <w:shd w:val="clear" w:color="auto" w:fill="auto"/>
          </w:tcPr>
          <w:p w:rsidR="008C5CF4" w:rsidRPr="007235DA" w:rsidRDefault="008C5CF4" w:rsidP="008C5CF4">
            <w:pPr>
              <w:spacing w:after="0"/>
              <w:jc w:val="left"/>
              <w:rPr>
                <w:rFonts w:cs="Times New Roman"/>
              </w:rPr>
            </w:pPr>
            <w:r w:rsidRPr="007235DA">
              <w:rPr>
                <w:rFonts w:cs="Times New Roman"/>
              </w:rPr>
              <w:t>Ins</w:t>
            </w:r>
          </w:p>
        </w:tc>
        <w:tc>
          <w:tcPr>
            <w:tcW w:w="2760" w:type="pct"/>
          </w:tcPr>
          <w:p w:rsidR="008C5CF4" w:rsidRPr="007235DA" w:rsidRDefault="008C5CF4" w:rsidP="008C5CF4">
            <w:pPr>
              <w:spacing w:after="0"/>
              <w:jc w:val="left"/>
              <w:rPr>
                <w:rFonts w:cs="Times New Roman"/>
                <w:bCs/>
              </w:rPr>
            </w:pPr>
            <w:r w:rsidRPr="007235DA">
              <w:rPr>
                <w:rFonts w:cs="Times New Roman"/>
                <w:bCs/>
              </w:rPr>
              <w:t>Insula</w:t>
            </w:r>
          </w:p>
        </w:tc>
      </w:tr>
      <w:tr w:rsidR="008C5CF4" w:rsidRPr="007235DA" w:rsidTr="00CC3E78">
        <w:tc>
          <w:tcPr>
            <w:tcW w:w="2240" w:type="pct"/>
            <w:shd w:val="clear" w:color="auto" w:fill="auto"/>
          </w:tcPr>
          <w:p w:rsidR="008C5CF4" w:rsidRPr="007235DA" w:rsidRDefault="003E59AE" w:rsidP="008C5CF4">
            <w:pPr>
              <w:spacing w:after="0"/>
              <w:jc w:val="left"/>
              <w:rPr>
                <w:rFonts w:cs="Times New Roman"/>
              </w:rPr>
            </w:pPr>
            <w:r>
              <w:rPr>
                <w:rFonts w:cs="Times New Roman"/>
              </w:rPr>
              <w:t>MCC</w:t>
            </w:r>
          </w:p>
        </w:tc>
        <w:tc>
          <w:tcPr>
            <w:tcW w:w="2760" w:type="pct"/>
          </w:tcPr>
          <w:p w:rsidR="008C5CF4" w:rsidRPr="007235DA" w:rsidRDefault="008C5CF4" w:rsidP="003E59AE">
            <w:pPr>
              <w:spacing w:after="0"/>
              <w:jc w:val="left"/>
              <w:rPr>
                <w:rFonts w:cs="Times New Roman"/>
                <w:bCs/>
              </w:rPr>
            </w:pPr>
            <w:r w:rsidRPr="007235DA">
              <w:rPr>
                <w:rFonts w:cs="Times New Roman"/>
                <w:bCs/>
              </w:rPr>
              <w:t xml:space="preserve">Midcingulate </w:t>
            </w:r>
            <w:r w:rsidR="003E59AE">
              <w:rPr>
                <w:rFonts w:cs="Times New Roman"/>
                <w:bCs/>
              </w:rPr>
              <w:t>cortex</w:t>
            </w:r>
          </w:p>
        </w:tc>
      </w:tr>
      <w:tr w:rsidR="008C5CF4" w:rsidRPr="007235DA" w:rsidTr="00CC3E78">
        <w:tc>
          <w:tcPr>
            <w:tcW w:w="2240" w:type="pct"/>
            <w:shd w:val="clear" w:color="auto" w:fill="auto"/>
          </w:tcPr>
          <w:p w:rsidR="008C5CF4" w:rsidRPr="007235DA" w:rsidRDefault="008C5CF4" w:rsidP="008C5CF4">
            <w:pPr>
              <w:spacing w:after="0"/>
              <w:jc w:val="left"/>
              <w:rPr>
                <w:rFonts w:cs="Times New Roman"/>
              </w:rPr>
            </w:pPr>
            <w:r w:rsidRPr="007235DA">
              <w:rPr>
                <w:rFonts w:cs="Times New Roman"/>
              </w:rPr>
              <w:t>MFG</w:t>
            </w:r>
          </w:p>
        </w:tc>
        <w:tc>
          <w:tcPr>
            <w:tcW w:w="2760" w:type="pct"/>
          </w:tcPr>
          <w:p w:rsidR="008C5CF4" w:rsidRPr="007235DA" w:rsidRDefault="008C5CF4" w:rsidP="008C5CF4">
            <w:pPr>
              <w:spacing w:after="0"/>
              <w:jc w:val="left"/>
              <w:rPr>
                <w:rFonts w:cs="Times New Roman"/>
                <w:bCs/>
              </w:rPr>
            </w:pPr>
            <w:r w:rsidRPr="007235DA">
              <w:rPr>
                <w:rFonts w:cs="Times New Roman"/>
                <w:bCs/>
              </w:rPr>
              <w:t>Middle frontal gyrus</w:t>
            </w:r>
          </w:p>
        </w:tc>
      </w:tr>
      <w:tr w:rsidR="004572F6" w:rsidRPr="007235DA" w:rsidTr="004572F6">
        <w:tc>
          <w:tcPr>
            <w:tcW w:w="2240" w:type="pct"/>
            <w:shd w:val="clear" w:color="auto" w:fill="auto"/>
          </w:tcPr>
          <w:p w:rsidR="004572F6" w:rsidRPr="007235DA" w:rsidRDefault="004572F6" w:rsidP="004572F6">
            <w:pPr>
              <w:spacing w:after="0"/>
              <w:jc w:val="left"/>
              <w:rPr>
                <w:rFonts w:cs="Times New Roman"/>
              </w:rPr>
            </w:pPr>
            <w:r>
              <w:rPr>
                <w:rFonts w:cs="Times New Roman"/>
              </w:rPr>
              <w:t>mOFC</w:t>
            </w:r>
          </w:p>
        </w:tc>
        <w:tc>
          <w:tcPr>
            <w:tcW w:w="2760" w:type="pct"/>
          </w:tcPr>
          <w:p w:rsidR="004572F6" w:rsidRPr="007235DA" w:rsidRDefault="004572F6" w:rsidP="004572F6">
            <w:pPr>
              <w:spacing w:after="0"/>
              <w:jc w:val="left"/>
              <w:rPr>
                <w:rFonts w:cs="Times New Roman"/>
                <w:bCs/>
              </w:rPr>
            </w:pPr>
            <w:r>
              <w:rPr>
                <w:rFonts w:cs="Times New Roman"/>
                <w:bCs/>
              </w:rPr>
              <w:t>Orbitofrontal cortex</w:t>
            </w:r>
          </w:p>
        </w:tc>
      </w:tr>
      <w:tr w:rsidR="008C5CF4" w:rsidRPr="007235DA" w:rsidTr="00CC3E78">
        <w:tc>
          <w:tcPr>
            <w:tcW w:w="2240" w:type="pct"/>
            <w:shd w:val="clear" w:color="auto" w:fill="auto"/>
          </w:tcPr>
          <w:p w:rsidR="008C5CF4" w:rsidRPr="007235DA" w:rsidRDefault="008C5CF4" w:rsidP="008C5CF4">
            <w:pPr>
              <w:spacing w:after="0"/>
              <w:jc w:val="left"/>
              <w:rPr>
                <w:rFonts w:cs="Times New Roman"/>
              </w:rPr>
            </w:pPr>
            <w:r w:rsidRPr="007235DA">
              <w:rPr>
                <w:rFonts w:cs="Times New Roman"/>
              </w:rPr>
              <w:t>MTG</w:t>
            </w:r>
          </w:p>
        </w:tc>
        <w:tc>
          <w:tcPr>
            <w:tcW w:w="2760" w:type="pct"/>
          </w:tcPr>
          <w:p w:rsidR="008C5CF4" w:rsidRPr="007235DA" w:rsidRDefault="008C5CF4" w:rsidP="008C5CF4">
            <w:pPr>
              <w:spacing w:after="0"/>
              <w:jc w:val="left"/>
              <w:rPr>
                <w:rFonts w:cs="Times New Roman"/>
                <w:bCs/>
              </w:rPr>
            </w:pPr>
            <w:r w:rsidRPr="007235DA">
              <w:rPr>
                <w:rFonts w:cs="Times New Roman"/>
                <w:bCs/>
              </w:rPr>
              <w:t>Middle temporal gyrus</w:t>
            </w:r>
          </w:p>
        </w:tc>
      </w:tr>
      <w:tr w:rsidR="002B480C" w:rsidRPr="007235DA" w:rsidTr="00CC3E78">
        <w:tc>
          <w:tcPr>
            <w:tcW w:w="2240" w:type="pct"/>
            <w:shd w:val="clear" w:color="auto" w:fill="auto"/>
          </w:tcPr>
          <w:p w:rsidR="002B480C" w:rsidRPr="007235DA" w:rsidRDefault="004572F6" w:rsidP="008C5CF4">
            <w:pPr>
              <w:spacing w:after="0"/>
              <w:jc w:val="left"/>
              <w:rPr>
                <w:rFonts w:cs="Times New Roman"/>
              </w:rPr>
            </w:pPr>
            <w:r>
              <w:rPr>
                <w:rFonts w:cs="Times New Roman"/>
              </w:rPr>
              <w:t>m</w:t>
            </w:r>
            <w:r w:rsidR="002B480C">
              <w:rPr>
                <w:rFonts w:cs="Times New Roman"/>
              </w:rPr>
              <w:t>OFC</w:t>
            </w:r>
          </w:p>
        </w:tc>
        <w:tc>
          <w:tcPr>
            <w:tcW w:w="2760" w:type="pct"/>
          </w:tcPr>
          <w:p w:rsidR="002B480C" w:rsidRPr="007235DA" w:rsidRDefault="002B480C" w:rsidP="008C5CF4">
            <w:pPr>
              <w:spacing w:after="0"/>
              <w:jc w:val="left"/>
              <w:rPr>
                <w:rFonts w:cs="Times New Roman"/>
                <w:bCs/>
              </w:rPr>
            </w:pPr>
            <w:r>
              <w:rPr>
                <w:rFonts w:cs="Times New Roman"/>
                <w:bCs/>
              </w:rPr>
              <w:t>Orbitofrontal cortex</w:t>
            </w:r>
          </w:p>
        </w:tc>
      </w:tr>
      <w:tr w:rsidR="008C5CF4" w:rsidRPr="007235DA" w:rsidTr="00CC3E78">
        <w:tc>
          <w:tcPr>
            <w:tcW w:w="2240" w:type="pct"/>
            <w:shd w:val="clear" w:color="auto" w:fill="auto"/>
          </w:tcPr>
          <w:p w:rsidR="008C5CF4" w:rsidRPr="007235DA" w:rsidRDefault="008C5CF4" w:rsidP="008C5CF4">
            <w:pPr>
              <w:spacing w:after="0"/>
              <w:jc w:val="left"/>
              <w:rPr>
                <w:rFonts w:cs="Times New Roman"/>
              </w:rPr>
            </w:pPr>
            <w:bookmarkStart w:id="0" w:name="_GoBack"/>
            <w:r w:rsidRPr="007235DA">
              <w:rPr>
                <w:rFonts w:cs="Times New Roman"/>
              </w:rPr>
              <w:t>PCC</w:t>
            </w:r>
          </w:p>
        </w:tc>
        <w:tc>
          <w:tcPr>
            <w:tcW w:w="2760" w:type="pct"/>
          </w:tcPr>
          <w:p w:rsidR="008C5CF4" w:rsidRPr="007235DA" w:rsidRDefault="008C5CF4" w:rsidP="008C5CF4">
            <w:pPr>
              <w:spacing w:after="0"/>
              <w:jc w:val="left"/>
              <w:rPr>
                <w:rFonts w:cs="Times New Roman"/>
                <w:bCs/>
              </w:rPr>
            </w:pPr>
            <w:r w:rsidRPr="007235DA">
              <w:rPr>
                <w:rFonts w:cs="Times New Roman"/>
                <w:bCs/>
              </w:rPr>
              <w:t>Posterior cingulate cortex</w:t>
            </w:r>
          </w:p>
        </w:tc>
      </w:tr>
      <w:bookmarkEnd w:id="0"/>
      <w:tr w:rsidR="008C5CF4" w:rsidRPr="007235DA" w:rsidTr="00CC3E78">
        <w:tc>
          <w:tcPr>
            <w:tcW w:w="2240" w:type="pct"/>
            <w:shd w:val="clear" w:color="auto" w:fill="auto"/>
          </w:tcPr>
          <w:p w:rsidR="008C5CF4" w:rsidRPr="007235DA" w:rsidRDefault="008C5CF4" w:rsidP="008601A0">
            <w:pPr>
              <w:spacing w:after="0"/>
              <w:jc w:val="left"/>
              <w:rPr>
                <w:rFonts w:cs="Times New Roman"/>
              </w:rPr>
            </w:pPr>
            <w:r w:rsidRPr="007235DA">
              <w:rPr>
                <w:rFonts w:cs="Times New Roman"/>
              </w:rPr>
              <w:t>P</w:t>
            </w:r>
            <w:r w:rsidR="00914D8A">
              <w:rPr>
                <w:rFonts w:cs="Times New Roman"/>
              </w:rPr>
              <w:t>C</w:t>
            </w:r>
            <w:r w:rsidRPr="007235DA">
              <w:rPr>
                <w:rFonts w:cs="Times New Roman"/>
              </w:rPr>
              <w:t>G</w:t>
            </w:r>
          </w:p>
        </w:tc>
        <w:tc>
          <w:tcPr>
            <w:tcW w:w="2760" w:type="pct"/>
          </w:tcPr>
          <w:p w:rsidR="008C5CF4" w:rsidRPr="007235DA" w:rsidRDefault="008C5CF4" w:rsidP="008C5CF4">
            <w:pPr>
              <w:spacing w:after="0"/>
              <w:jc w:val="left"/>
              <w:rPr>
                <w:rFonts w:cs="Times New Roman"/>
                <w:bCs/>
              </w:rPr>
            </w:pPr>
            <w:r w:rsidRPr="007235DA">
              <w:rPr>
                <w:rFonts w:cs="Times New Roman"/>
                <w:bCs/>
              </w:rPr>
              <w:t>Precentral gyrus</w:t>
            </w:r>
          </w:p>
        </w:tc>
      </w:tr>
      <w:tr w:rsidR="008C5CF4" w:rsidRPr="007235DA" w:rsidTr="00CC3E78">
        <w:tc>
          <w:tcPr>
            <w:tcW w:w="2240" w:type="pct"/>
            <w:shd w:val="clear" w:color="auto" w:fill="auto"/>
          </w:tcPr>
          <w:p w:rsidR="008C5CF4" w:rsidRPr="007235DA" w:rsidRDefault="00914D8A" w:rsidP="008C5CF4">
            <w:pPr>
              <w:spacing w:after="0"/>
              <w:jc w:val="left"/>
              <w:rPr>
                <w:rFonts w:cs="Times New Roman"/>
              </w:rPr>
            </w:pPr>
            <w:r>
              <w:rPr>
                <w:rFonts w:cs="Times New Roman"/>
              </w:rPr>
              <w:t>PO</w:t>
            </w:r>
            <w:r w:rsidR="008C5CF4" w:rsidRPr="007235DA">
              <w:rPr>
                <w:rFonts w:cs="Times New Roman"/>
              </w:rPr>
              <w:t>G</w:t>
            </w:r>
          </w:p>
        </w:tc>
        <w:tc>
          <w:tcPr>
            <w:tcW w:w="2760" w:type="pct"/>
          </w:tcPr>
          <w:p w:rsidR="008C5CF4" w:rsidRPr="007235DA" w:rsidRDefault="008C5CF4" w:rsidP="008C5CF4">
            <w:pPr>
              <w:spacing w:after="0"/>
              <w:jc w:val="left"/>
              <w:rPr>
                <w:rFonts w:cs="Times New Roman"/>
                <w:bCs/>
              </w:rPr>
            </w:pPr>
            <w:r w:rsidRPr="007235DA">
              <w:rPr>
                <w:rFonts w:cs="Times New Roman"/>
                <w:bCs/>
              </w:rPr>
              <w:t>Postcentral gyrus</w:t>
            </w:r>
          </w:p>
        </w:tc>
      </w:tr>
      <w:tr w:rsidR="00CC3E78" w:rsidRPr="007235DA" w:rsidTr="00CC3E78">
        <w:tc>
          <w:tcPr>
            <w:tcW w:w="2240" w:type="pct"/>
            <w:shd w:val="clear" w:color="auto" w:fill="auto"/>
          </w:tcPr>
          <w:p w:rsidR="00CC3E78" w:rsidRDefault="00CC3E78" w:rsidP="008C5CF4">
            <w:pPr>
              <w:spacing w:after="0"/>
              <w:jc w:val="left"/>
              <w:rPr>
                <w:rFonts w:cs="Times New Roman"/>
              </w:rPr>
            </w:pPr>
            <w:r>
              <w:rPr>
                <w:rFonts w:cs="Times New Roman"/>
              </w:rPr>
              <w:t>rACC</w:t>
            </w:r>
          </w:p>
        </w:tc>
        <w:tc>
          <w:tcPr>
            <w:tcW w:w="2760" w:type="pct"/>
          </w:tcPr>
          <w:p w:rsidR="00CC3E78" w:rsidRPr="007235DA" w:rsidRDefault="00CC3E78" w:rsidP="008C5CF4">
            <w:pPr>
              <w:spacing w:after="0"/>
              <w:jc w:val="left"/>
              <w:rPr>
                <w:rFonts w:cs="Times New Roman"/>
                <w:bCs/>
              </w:rPr>
            </w:pPr>
            <w:r>
              <w:rPr>
                <w:rFonts w:cs="Times New Roman"/>
                <w:bCs/>
              </w:rPr>
              <w:t>Rostral anterior cingulate cortex</w:t>
            </w:r>
          </w:p>
        </w:tc>
      </w:tr>
      <w:tr w:rsidR="00CC3E78" w:rsidRPr="007235DA" w:rsidTr="00CC3E78">
        <w:tc>
          <w:tcPr>
            <w:tcW w:w="2240" w:type="pct"/>
            <w:shd w:val="clear" w:color="auto" w:fill="auto"/>
          </w:tcPr>
          <w:p w:rsidR="00CC3E78" w:rsidRDefault="00CC3E78" w:rsidP="008C5CF4">
            <w:pPr>
              <w:spacing w:after="0"/>
              <w:jc w:val="left"/>
              <w:rPr>
                <w:rFonts w:cs="Times New Roman"/>
              </w:rPr>
            </w:pPr>
            <w:r>
              <w:rPr>
                <w:rFonts w:cs="Times New Roman"/>
              </w:rPr>
              <w:t>sgACC</w:t>
            </w:r>
          </w:p>
        </w:tc>
        <w:tc>
          <w:tcPr>
            <w:tcW w:w="2760" w:type="pct"/>
          </w:tcPr>
          <w:p w:rsidR="00CC3E78" w:rsidRPr="007235DA" w:rsidRDefault="00CC3E78" w:rsidP="008C5CF4">
            <w:pPr>
              <w:spacing w:after="0"/>
              <w:jc w:val="left"/>
              <w:rPr>
                <w:rFonts w:cs="Times New Roman"/>
                <w:bCs/>
              </w:rPr>
            </w:pPr>
            <w:r>
              <w:rPr>
                <w:rFonts w:cs="Times New Roman"/>
                <w:bCs/>
              </w:rPr>
              <w:t>Subguneal anterior cingulate cortex</w:t>
            </w:r>
          </w:p>
        </w:tc>
      </w:tr>
      <w:tr w:rsidR="008C5CF4" w:rsidRPr="007235DA" w:rsidTr="00CC3E78">
        <w:tc>
          <w:tcPr>
            <w:tcW w:w="2240" w:type="pct"/>
            <w:shd w:val="clear" w:color="auto" w:fill="auto"/>
          </w:tcPr>
          <w:p w:rsidR="008C5CF4" w:rsidRPr="007235DA" w:rsidRDefault="008C5CF4" w:rsidP="008C5CF4">
            <w:pPr>
              <w:spacing w:after="0"/>
              <w:jc w:val="left"/>
              <w:rPr>
                <w:rFonts w:cs="Times New Roman"/>
              </w:rPr>
            </w:pPr>
            <w:r w:rsidRPr="007235DA">
              <w:rPr>
                <w:rFonts w:cs="Times New Roman"/>
              </w:rPr>
              <w:t>STG</w:t>
            </w:r>
          </w:p>
        </w:tc>
        <w:tc>
          <w:tcPr>
            <w:tcW w:w="2760" w:type="pct"/>
          </w:tcPr>
          <w:p w:rsidR="008C5CF4" w:rsidRPr="007235DA" w:rsidRDefault="008C5CF4" w:rsidP="008C5CF4">
            <w:pPr>
              <w:spacing w:after="0"/>
              <w:jc w:val="left"/>
              <w:rPr>
                <w:rFonts w:cs="Times New Roman"/>
                <w:bCs/>
              </w:rPr>
            </w:pPr>
            <w:r w:rsidRPr="007235DA">
              <w:rPr>
                <w:rFonts w:cs="Times New Roman"/>
                <w:bCs/>
              </w:rPr>
              <w:t>Superior temporal gyrus</w:t>
            </w:r>
          </w:p>
        </w:tc>
      </w:tr>
      <w:tr w:rsidR="008C5CF4" w:rsidRPr="007235DA" w:rsidTr="00CC3E78">
        <w:tc>
          <w:tcPr>
            <w:tcW w:w="2240" w:type="pct"/>
            <w:shd w:val="clear" w:color="auto" w:fill="auto"/>
          </w:tcPr>
          <w:p w:rsidR="008C5CF4" w:rsidRPr="007235DA" w:rsidRDefault="008C5CF4" w:rsidP="008C5CF4">
            <w:pPr>
              <w:spacing w:after="0"/>
              <w:jc w:val="left"/>
              <w:rPr>
                <w:rFonts w:cs="Times New Roman"/>
              </w:rPr>
            </w:pPr>
            <w:r w:rsidRPr="007235DA">
              <w:rPr>
                <w:rFonts w:cs="Times New Roman"/>
              </w:rPr>
              <w:t>TPJ</w:t>
            </w:r>
          </w:p>
        </w:tc>
        <w:tc>
          <w:tcPr>
            <w:tcW w:w="2760" w:type="pct"/>
          </w:tcPr>
          <w:p w:rsidR="008C5CF4" w:rsidRPr="007235DA" w:rsidRDefault="008C5CF4" w:rsidP="008C5CF4">
            <w:pPr>
              <w:spacing w:after="0"/>
              <w:jc w:val="left"/>
              <w:rPr>
                <w:rFonts w:cs="Times New Roman"/>
                <w:bCs/>
              </w:rPr>
            </w:pPr>
            <w:r w:rsidRPr="007235DA">
              <w:rPr>
                <w:rFonts w:cs="Times New Roman"/>
              </w:rPr>
              <w:t>Temporal parietal junction</w:t>
            </w:r>
          </w:p>
        </w:tc>
      </w:tr>
      <w:tr w:rsidR="008C5CF4" w:rsidRPr="007235DA" w:rsidTr="00CC3E78">
        <w:tc>
          <w:tcPr>
            <w:tcW w:w="2240" w:type="pct"/>
            <w:shd w:val="clear" w:color="auto" w:fill="auto"/>
          </w:tcPr>
          <w:p w:rsidR="008C5CF4" w:rsidRPr="007235DA" w:rsidRDefault="008C5CF4" w:rsidP="008C5CF4">
            <w:pPr>
              <w:spacing w:after="0"/>
              <w:jc w:val="left"/>
              <w:rPr>
                <w:rFonts w:cs="Times New Roman"/>
              </w:rPr>
            </w:pPr>
            <w:r w:rsidRPr="007235DA">
              <w:rPr>
                <w:rFonts w:cs="Times New Roman"/>
              </w:rPr>
              <w:t>vlPFC</w:t>
            </w:r>
          </w:p>
        </w:tc>
        <w:tc>
          <w:tcPr>
            <w:tcW w:w="2760" w:type="pct"/>
          </w:tcPr>
          <w:p w:rsidR="008C5CF4" w:rsidRPr="007235DA" w:rsidRDefault="008C5CF4" w:rsidP="008C5CF4">
            <w:pPr>
              <w:spacing w:after="0"/>
              <w:jc w:val="left"/>
              <w:rPr>
                <w:rFonts w:cs="Times New Roman"/>
                <w:bCs/>
              </w:rPr>
            </w:pPr>
            <w:r w:rsidRPr="007235DA">
              <w:rPr>
                <w:rFonts w:cs="Times New Roman"/>
                <w:bCs/>
              </w:rPr>
              <w:t>Ventrolateral prefrontal cortex</w:t>
            </w:r>
          </w:p>
        </w:tc>
      </w:tr>
      <w:tr w:rsidR="008C5CF4" w:rsidRPr="00442079" w:rsidTr="00CC3E78">
        <w:tc>
          <w:tcPr>
            <w:tcW w:w="2240" w:type="pct"/>
            <w:shd w:val="clear" w:color="auto" w:fill="auto"/>
          </w:tcPr>
          <w:p w:rsidR="008C5CF4" w:rsidRPr="00442079" w:rsidRDefault="008C5CF4" w:rsidP="008C5CF4">
            <w:pPr>
              <w:spacing w:after="0"/>
              <w:jc w:val="left"/>
              <w:rPr>
                <w:rFonts w:cs="Times New Roman"/>
              </w:rPr>
            </w:pPr>
            <w:r w:rsidRPr="00442079">
              <w:rPr>
                <w:rFonts w:cs="Times New Roman"/>
              </w:rPr>
              <w:t>vmPFC</w:t>
            </w:r>
          </w:p>
        </w:tc>
        <w:tc>
          <w:tcPr>
            <w:tcW w:w="2760" w:type="pct"/>
          </w:tcPr>
          <w:p w:rsidR="008C5CF4" w:rsidRPr="00442079" w:rsidRDefault="008C5CF4" w:rsidP="008C5CF4">
            <w:pPr>
              <w:spacing w:after="0"/>
              <w:jc w:val="left"/>
              <w:rPr>
                <w:rFonts w:cs="Times New Roman"/>
                <w:bCs/>
              </w:rPr>
            </w:pPr>
            <w:r w:rsidRPr="00442079">
              <w:rPr>
                <w:rFonts w:cs="Times New Roman"/>
                <w:bCs/>
              </w:rPr>
              <w:t>Ventromedial prefrontal cortex</w:t>
            </w:r>
          </w:p>
        </w:tc>
      </w:tr>
      <w:tr w:rsidR="008C5CF4" w:rsidRPr="003F50D3" w:rsidTr="00CC3E78">
        <w:tc>
          <w:tcPr>
            <w:tcW w:w="2240" w:type="pct"/>
            <w:shd w:val="clear" w:color="auto" w:fill="auto"/>
          </w:tcPr>
          <w:p w:rsidR="008C5CF4" w:rsidRDefault="008C5CF4" w:rsidP="008C5CF4">
            <w:pPr>
              <w:spacing w:after="0"/>
              <w:jc w:val="left"/>
              <w:rPr>
                <w:rFonts w:cs="Times New Roman"/>
              </w:rPr>
            </w:pPr>
            <w:r>
              <w:rPr>
                <w:rFonts w:cs="Times New Roman"/>
              </w:rPr>
              <w:t>VS</w:t>
            </w:r>
          </w:p>
        </w:tc>
        <w:tc>
          <w:tcPr>
            <w:tcW w:w="2760" w:type="pct"/>
          </w:tcPr>
          <w:p w:rsidR="008C5CF4" w:rsidRDefault="008C5CF4" w:rsidP="008C5CF4">
            <w:pPr>
              <w:spacing w:after="0"/>
              <w:jc w:val="left"/>
              <w:rPr>
                <w:rFonts w:cs="Times New Roman"/>
                <w:bCs/>
              </w:rPr>
            </w:pPr>
            <w:r>
              <w:rPr>
                <w:rFonts w:cs="Times New Roman"/>
                <w:bCs/>
              </w:rPr>
              <w:t>Ventral striatum</w:t>
            </w:r>
          </w:p>
        </w:tc>
      </w:tr>
    </w:tbl>
    <w:p w:rsidR="0066477E" w:rsidRDefault="0066477E" w:rsidP="008C5CF4">
      <w:pPr>
        <w:spacing w:after="0"/>
        <w:rPr>
          <w:rFonts w:cs="Times New Roman"/>
        </w:rPr>
      </w:pPr>
    </w:p>
    <w:p w:rsidR="00347EE0" w:rsidRDefault="00347EE0" w:rsidP="008C5CF4">
      <w:pPr>
        <w:spacing w:after="0"/>
        <w:rPr>
          <w:rFonts w:cs="Times New Roman"/>
        </w:rPr>
      </w:pPr>
    </w:p>
    <w:p w:rsidR="00347EE0" w:rsidRPr="00A341DA" w:rsidRDefault="00347EE0" w:rsidP="008C5CF4">
      <w:pPr>
        <w:spacing w:after="0"/>
        <w:rPr>
          <w:rFonts w:cs="Times New Roman"/>
          <w:u w:val="single"/>
        </w:rPr>
      </w:pPr>
      <w:r w:rsidRPr="00A341DA">
        <w:rPr>
          <w:rFonts w:cs="Times New Roman"/>
          <w:u w:val="single"/>
        </w:rPr>
        <w:t>Neuroscientific brain region descriptions:</w:t>
      </w:r>
    </w:p>
    <w:p w:rsidR="00347EE0" w:rsidRDefault="00347EE0" w:rsidP="008C5CF4">
      <w:pPr>
        <w:spacing w:after="0"/>
        <w:rPr>
          <w:rFonts w:cs="Times New Roman"/>
        </w:rPr>
      </w:pPr>
    </w:p>
    <w:p w:rsidR="00950C27" w:rsidRPr="00356F7D" w:rsidRDefault="00C145DC" w:rsidP="008C5CF4">
      <w:pPr>
        <w:spacing w:after="0"/>
        <w:rPr>
          <w:rFonts w:cs="Times New Roman"/>
        </w:rPr>
      </w:pPr>
      <w:r>
        <w:rPr>
          <w:rFonts w:cs="Times New Roman"/>
        </w:rPr>
        <w:t>Regions often used in the literature were summarized as functional entities. Of these, activations in the VS were summarized as a</w:t>
      </w:r>
      <w:r w:rsidR="002F64A8" w:rsidRPr="002F64A8">
        <w:rPr>
          <w:rFonts w:cs="Times New Roman"/>
        </w:rPr>
        <w:t>ctivations of the ventral anterior regions of the putamen and the caudate nucleus. Additionally, the</w:t>
      </w:r>
      <w:r w:rsidR="00442079">
        <w:rPr>
          <w:rFonts w:cs="Times New Roman"/>
        </w:rPr>
        <w:t xml:space="preserve"> TPJ</w:t>
      </w:r>
      <w:r w:rsidR="005C7605">
        <w:rPr>
          <w:rFonts w:cs="Times New Roman"/>
        </w:rPr>
        <w:t xml:space="preserve"> </w:t>
      </w:r>
      <w:r>
        <w:rPr>
          <w:rFonts w:cs="Times New Roman"/>
        </w:rPr>
        <w:t>was</w:t>
      </w:r>
      <w:r w:rsidR="005C7605">
        <w:rPr>
          <w:rFonts w:cs="Times New Roman"/>
        </w:rPr>
        <w:t xml:space="preserve"> considere</w:t>
      </w:r>
      <w:r w:rsidR="00347EE0">
        <w:rPr>
          <w:rFonts w:cs="Times New Roman"/>
        </w:rPr>
        <w:t xml:space="preserve">d to include the </w:t>
      </w:r>
      <w:r w:rsidR="007324CC">
        <w:rPr>
          <w:rFonts w:cs="Times New Roman"/>
        </w:rPr>
        <w:t xml:space="preserve">supramarginal and angular gyrus, as well as the </w:t>
      </w:r>
      <w:r w:rsidR="00347EE0">
        <w:rPr>
          <w:rFonts w:cs="Times New Roman"/>
        </w:rPr>
        <w:t>inferior parietal lobule</w:t>
      </w:r>
      <w:r w:rsidR="005C7605">
        <w:rPr>
          <w:rFonts w:cs="Times New Roman"/>
        </w:rPr>
        <w:t>.</w:t>
      </w:r>
      <w:r w:rsidR="00347EE0">
        <w:rPr>
          <w:rFonts w:cs="Times New Roman"/>
        </w:rPr>
        <w:t xml:space="preserve"> A</w:t>
      </w:r>
      <w:r w:rsidR="00442079">
        <w:rPr>
          <w:rFonts w:cs="Times New Roman"/>
        </w:rPr>
        <w:t xml:space="preserve">ctivations </w:t>
      </w:r>
      <w:r w:rsidR="009044A7">
        <w:rPr>
          <w:rFonts w:cs="Times New Roman"/>
        </w:rPr>
        <w:t>of</w:t>
      </w:r>
      <w:r w:rsidR="00442079">
        <w:rPr>
          <w:rFonts w:cs="Times New Roman"/>
        </w:rPr>
        <w:t xml:space="preserve"> the </w:t>
      </w:r>
      <w:r w:rsidR="00347EE0">
        <w:rPr>
          <w:rFonts w:cs="Times New Roman"/>
        </w:rPr>
        <w:t xml:space="preserve">superior frontal gyrus, the medial part of the superior frontal gyrus, the orbital part of the superior frontal gyrus, the orbital part of the medial frontal gyrus, and the orbital part of the superior frontal gyrus </w:t>
      </w:r>
      <w:r>
        <w:rPr>
          <w:rFonts w:cs="Times New Roman"/>
        </w:rPr>
        <w:t>were</w:t>
      </w:r>
      <w:r w:rsidR="00442079">
        <w:rPr>
          <w:rFonts w:cs="Times New Roman"/>
        </w:rPr>
        <w:t xml:space="preserve"> </w:t>
      </w:r>
      <w:r w:rsidR="00347EE0">
        <w:rPr>
          <w:rFonts w:cs="Times New Roman"/>
        </w:rPr>
        <w:t xml:space="preserve">referred to as </w:t>
      </w:r>
      <w:r w:rsidR="00442079">
        <w:rPr>
          <w:rFonts w:cs="Times New Roman"/>
        </w:rPr>
        <w:t xml:space="preserve">activations </w:t>
      </w:r>
      <w:r w:rsidR="009044A7">
        <w:rPr>
          <w:rFonts w:cs="Times New Roman"/>
        </w:rPr>
        <w:t>of</w:t>
      </w:r>
      <w:r w:rsidR="00442079">
        <w:rPr>
          <w:rFonts w:cs="Times New Roman"/>
        </w:rPr>
        <w:t xml:space="preserve"> the</w:t>
      </w:r>
      <w:r w:rsidR="009044A7">
        <w:rPr>
          <w:rFonts w:cs="Times New Roman"/>
        </w:rPr>
        <w:t xml:space="preserve"> dlPFC, dmPFC, </w:t>
      </w:r>
      <w:r w:rsidR="004572F6">
        <w:rPr>
          <w:rFonts w:cs="Times New Roman"/>
        </w:rPr>
        <w:t xml:space="preserve">mOFC, </w:t>
      </w:r>
      <w:r w:rsidR="009044A7">
        <w:rPr>
          <w:rFonts w:cs="Times New Roman"/>
        </w:rPr>
        <w:t>vlPFC</w:t>
      </w:r>
      <w:r w:rsidR="00347EE0">
        <w:rPr>
          <w:rFonts w:cs="Times New Roman"/>
        </w:rPr>
        <w:t>, or vmPFC</w:t>
      </w:r>
      <w:r w:rsidR="009044A7">
        <w:rPr>
          <w:rFonts w:cs="Times New Roman"/>
        </w:rPr>
        <w:t xml:space="preserve">. The regional </w:t>
      </w:r>
      <w:r w:rsidR="005B0AF8">
        <w:rPr>
          <w:rFonts w:cs="Times New Roman"/>
        </w:rPr>
        <w:t>definitions</w:t>
      </w:r>
      <w:r w:rsidR="009044A7">
        <w:rPr>
          <w:rFonts w:cs="Times New Roman"/>
        </w:rPr>
        <w:t xml:space="preserve"> were performed </w:t>
      </w:r>
      <w:r w:rsidR="005B0AF8">
        <w:rPr>
          <w:rFonts w:cs="Times New Roman"/>
        </w:rPr>
        <w:t xml:space="preserve">only </w:t>
      </w:r>
      <w:r w:rsidR="00347EE0">
        <w:rPr>
          <w:rFonts w:cs="Times New Roman"/>
        </w:rPr>
        <w:t xml:space="preserve">upon </w:t>
      </w:r>
      <w:r w:rsidR="00442079">
        <w:rPr>
          <w:rFonts w:cs="Times New Roman"/>
        </w:rPr>
        <w:t xml:space="preserve">closer inspection </w:t>
      </w:r>
      <w:proofErr w:type="gramStart"/>
      <w:r w:rsidR="00347EE0">
        <w:rPr>
          <w:rFonts w:cs="Times New Roman"/>
        </w:rPr>
        <w:t xml:space="preserve">of each </w:t>
      </w:r>
      <w:r w:rsidR="00442079">
        <w:rPr>
          <w:rFonts w:cs="Times New Roman"/>
        </w:rPr>
        <w:t>regional activation</w:t>
      </w:r>
      <w:proofErr w:type="gramEnd"/>
      <w:r w:rsidR="00442079">
        <w:rPr>
          <w:rFonts w:cs="Times New Roman"/>
        </w:rPr>
        <w:t>.</w:t>
      </w:r>
    </w:p>
    <w:sectPr w:rsidR="00950C27" w:rsidRPr="00356F7D" w:rsidSect="0066477E">
      <w:pgSz w:w="12240" w:h="15840"/>
      <w:pgMar w:top="1417" w:right="1417" w:bottom="1134"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06208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BA426B"/>
    <w:multiLevelType w:val="hybridMultilevel"/>
    <w:tmpl w:val="DF185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8B2C14"/>
    <w:multiLevelType w:val="hybridMultilevel"/>
    <w:tmpl w:val="5BA07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232338"/>
    <w:multiLevelType w:val="hybridMultilevel"/>
    <w:tmpl w:val="B2BEB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4C4A84"/>
    <w:multiLevelType w:val="hybridMultilevel"/>
    <w:tmpl w:val="B88A3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79C"/>
    <w:rsid w:val="00093D64"/>
    <w:rsid w:val="000B58E1"/>
    <w:rsid w:val="000C706D"/>
    <w:rsid w:val="001237D3"/>
    <w:rsid w:val="00153BF1"/>
    <w:rsid w:val="001645C0"/>
    <w:rsid w:val="00172C2B"/>
    <w:rsid w:val="00177E6E"/>
    <w:rsid w:val="00196839"/>
    <w:rsid w:val="001A68A6"/>
    <w:rsid w:val="001B1B28"/>
    <w:rsid w:val="001D61F3"/>
    <w:rsid w:val="00205A27"/>
    <w:rsid w:val="00210475"/>
    <w:rsid w:val="00221E5B"/>
    <w:rsid w:val="00233003"/>
    <w:rsid w:val="0025146A"/>
    <w:rsid w:val="00264ACD"/>
    <w:rsid w:val="00271BDB"/>
    <w:rsid w:val="002B480C"/>
    <w:rsid w:val="002C6952"/>
    <w:rsid w:val="002F64A8"/>
    <w:rsid w:val="00320567"/>
    <w:rsid w:val="00347EE0"/>
    <w:rsid w:val="003B0F5E"/>
    <w:rsid w:val="003C3768"/>
    <w:rsid w:val="003E59AE"/>
    <w:rsid w:val="003F50D3"/>
    <w:rsid w:val="00411DC8"/>
    <w:rsid w:val="00442079"/>
    <w:rsid w:val="004430FD"/>
    <w:rsid w:val="00451EF7"/>
    <w:rsid w:val="004572F6"/>
    <w:rsid w:val="00482A3E"/>
    <w:rsid w:val="004A1B01"/>
    <w:rsid w:val="004B2919"/>
    <w:rsid w:val="004D20A2"/>
    <w:rsid w:val="00505738"/>
    <w:rsid w:val="0059579C"/>
    <w:rsid w:val="005B0AF8"/>
    <w:rsid w:val="005C7605"/>
    <w:rsid w:val="0066477E"/>
    <w:rsid w:val="006A7D4C"/>
    <w:rsid w:val="006D461C"/>
    <w:rsid w:val="00722AB6"/>
    <w:rsid w:val="007235DA"/>
    <w:rsid w:val="007324CC"/>
    <w:rsid w:val="007C788C"/>
    <w:rsid w:val="007F7919"/>
    <w:rsid w:val="00807784"/>
    <w:rsid w:val="008601A0"/>
    <w:rsid w:val="008C5CF4"/>
    <w:rsid w:val="009044A7"/>
    <w:rsid w:val="00914D8A"/>
    <w:rsid w:val="00947564"/>
    <w:rsid w:val="00950C27"/>
    <w:rsid w:val="009561B0"/>
    <w:rsid w:val="009671C4"/>
    <w:rsid w:val="00A162D8"/>
    <w:rsid w:val="00A341DA"/>
    <w:rsid w:val="00A637D9"/>
    <w:rsid w:val="00A962BA"/>
    <w:rsid w:val="00AB3681"/>
    <w:rsid w:val="00AC1A4E"/>
    <w:rsid w:val="00AD111D"/>
    <w:rsid w:val="00B32686"/>
    <w:rsid w:val="00BA0088"/>
    <w:rsid w:val="00C145DC"/>
    <w:rsid w:val="00C41E7C"/>
    <w:rsid w:val="00CC3E78"/>
    <w:rsid w:val="00CC6BFC"/>
    <w:rsid w:val="00CD495D"/>
    <w:rsid w:val="00D4013E"/>
    <w:rsid w:val="00D9189B"/>
    <w:rsid w:val="00E37CC0"/>
    <w:rsid w:val="00EE584C"/>
    <w:rsid w:val="00EF71B1"/>
    <w:rsid w:val="00FC6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6952"/>
    <w:pPr>
      <w:keepNext/>
      <w:pBdr>
        <w:top w:val="nil"/>
        <w:left w:val="nil"/>
        <w:bottom w:val="nil"/>
        <w:right w:val="nil"/>
        <w:between w:val="nil"/>
        <w:bar w:val="nil"/>
      </w:pBdr>
      <w:spacing w:after="200"/>
      <w:jc w:val="both"/>
    </w:pPr>
    <w:rPr>
      <w:rFonts w:ascii="Times New Roman" w:hAnsi="Times New Roman" w:cs="Calibri"/>
      <w:color w:val="000000"/>
      <w:sz w:val="22"/>
      <w:szCs w:val="22"/>
      <w:u w:color="000000"/>
      <w:bdr w:val="nil"/>
    </w:rPr>
  </w:style>
  <w:style w:type="paragraph" w:styleId="berschrift1">
    <w:name w:val="heading 1"/>
    <w:basedOn w:val="Standard"/>
    <w:next w:val="Standard"/>
    <w:link w:val="berschrift1Zchn"/>
    <w:uiPriority w:val="9"/>
    <w:qFormat/>
    <w:rsid w:val="0025146A"/>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jc w:val="left"/>
      <w:outlineLvl w:val="0"/>
    </w:pPr>
    <w:rPr>
      <w:rFonts w:ascii="Cambria" w:eastAsia="Times New Roman" w:hAnsi="Cambria" w:cs="Times New Roman"/>
      <w:b/>
      <w:bCs/>
      <w:color w:val="365F91"/>
      <w:sz w:val="28"/>
      <w:szCs w:val="28"/>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25146A"/>
    <w:rPr>
      <w:rFonts w:ascii="Cambria" w:eastAsia="Times New Roman" w:hAnsi="Cambria" w:cs="Times New Roman"/>
      <w:b/>
      <w:bCs/>
      <w:color w:val="365F91"/>
      <w:sz w:val="28"/>
      <w:szCs w:val="28"/>
    </w:rPr>
  </w:style>
  <w:style w:type="paragraph" w:customStyle="1" w:styleId="FarbigeListe-Akzent11">
    <w:name w:val="Farbige Liste - Akzent 11"/>
    <w:basedOn w:val="Standard"/>
    <w:uiPriority w:val="34"/>
    <w:qFormat/>
    <w:rsid w:val="0025146A"/>
    <w:pPr>
      <w:keepNext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contextualSpacing/>
      <w:jc w:val="left"/>
    </w:pPr>
    <w:rPr>
      <w:rFonts w:ascii="Calibri" w:hAnsi="Calibri" w:cs="Times New Roman"/>
      <w:color w:val="auto"/>
      <w:bdr w:val="none" w:sz="0" w:space="0" w:color="auto"/>
    </w:rPr>
  </w:style>
  <w:style w:type="table" w:styleId="MittleresRaster3">
    <w:name w:val="Medium Grid 3"/>
    <w:basedOn w:val="NormaleTabelle"/>
    <w:uiPriority w:val="60"/>
    <w:rsid w:val="006D461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ellenraster">
    <w:name w:val="Table Grid"/>
    <w:basedOn w:val="NormaleTabelle"/>
    <w:uiPriority w:val="59"/>
    <w:rsid w:val="001237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uiPriority w:val="99"/>
    <w:semiHidden/>
    <w:unhideWhenUsed/>
    <w:rsid w:val="00CD495D"/>
    <w:rPr>
      <w:sz w:val="16"/>
      <w:szCs w:val="16"/>
    </w:rPr>
  </w:style>
  <w:style w:type="paragraph" w:styleId="Kommentartext">
    <w:name w:val="annotation text"/>
    <w:basedOn w:val="Standard"/>
    <w:link w:val="KommentartextZchn"/>
    <w:uiPriority w:val="99"/>
    <w:semiHidden/>
    <w:unhideWhenUsed/>
    <w:rsid w:val="00CD495D"/>
    <w:rPr>
      <w:sz w:val="20"/>
      <w:szCs w:val="20"/>
    </w:rPr>
  </w:style>
  <w:style w:type="character" w:customStyle="1" w:styleId="KommentartextZchn">
    <w:name w:val="Kommentartext Zchn"/>
    <w:link w:val="Kommentartext"/>
    <w:uiPriority w:val="99"/>
    <w:semiHidden/>
    <w:rsid w:val="00CD495D"/>
    <w:rPr>
      <w:rFonts w:ascii="Times New Roman" w:hAnsi="Times New Roman" w:cs="Calibri"/>
      <w:color w:val="000000"/>
      <w:u w:color="000000"/>
      <w:bdr w:val="nil"/>
    </w:rPr>
  </w:style>
  <w:style w:type="paragraph" w:styleId="Kommentarthema">
    <w:name w:val="annotation subject"/>
    <w:basedOn w:val="Kommentartext"/>
    <w:next w:val="Kommentartext"/>
    <w:link w:val="KommentarthemaZchn"/>
    <w:uiPriority w:val="99"/>
    <w:semiHidden/>
    <w:unhideWhenUsed/>
    <w:rsid w:val="00CD495D"/>
    <w:rPr>
      <w:b/>
      <w:bCs/>
    </w:rPr>
  </w:style>
  <w:style w:type="character" w:customStyle="1" w:styleId="KommentarthemaZchn">
    <w:name w:val="Kommentarthema Zchn"/>
    <w:link w:val="Kommentarthema"/>
    <w:uiPriority w:val="99"/>
    <w:semiHidden/>
    <w:rsid w:val="00CD495D"/>
    <w:rPr>
      <w:rFonts w:ascii="Times New Roman" w:hAnsi="Times New Roman" w:cs="Calibri"/>
      <w:b/>
      <w:bCs/>
      <w:color w:val="000000"/>
      <w:u w:color="000000"/>
      <w:bdr w:val="nil"/>
    </w:rPr>
  </w:style>
  <w:style w:type="paragraph" w:styleId="Sprechblasentext">
    <w:name w:val="Balloon Text"/>
    <w:basedOn w:val="Standard"/>
    <w:link w:val="SprechblasentextZchn"/>
    <w:uiPriority w:val="99"/>
    <w:semiHidden/>
    <w:unhideWhenUsed/>
    <w:rsid w:val="00CD495D"/>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CD495D"/>
    <w:rPr>
      <w:rFonts w:ascii="Tahoma" w:hAnsi="Tahoma" w:cs="Tahoma"/>
      <w:color w:val="000000"/>
      <w:sz w:val="16"/>
      <w:szCs w:val="16"/>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6952"/>
    <w:pPr>
      <w:keepNext/>
      <w:pBdr>
        <w:top w:val="nil"/>
        <w:left w:val="nil"/>
        <w:bottom w:val="nil"/>
        <w:right w:val="nil"/>
        <w:between w:val="nil"/>
        <w:bar w:val="nil"/>
      </w:pBdr>
      <w:spacing w:after="200"/>
      <w:jc w:val="both"/>
    </w:pPr>
    <w:rPr>
      <w:rFonts w:ascii="Times New Roman" w:hAnsi="Times New Roman" w:cs="Calibri"/>
      <w:color w:val="000000"/>
      <w:sz w:val="22"/>
      <w:szCs w:val="22"/>
      <w:u w:color="000000"/>
      <w:bdr w:val="nil"/>
    </w:rPr>
  </w:style>
  <w:style w:type="paragraph" w:styleId="berschrift1">
    <w:name w:val="heading 1"/>
    <w:basedOn w:val="Standard"/>
    <w:next w:val="Standard"/>
    <w:link w:val="berschrift1Zchn"/>
    <w:uiPriority w:val="9"/>
    <w:qFormat/>
    <w:rsid w:val="0025146A"/>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jc w:val="left"/>
      <w:outlineLvl w:val="0"/>
    </w:pPr>
    <w:rPr>
      <w:rFonts w:ascii="Cambria" w:eastAsia="Times New Roman" w:hAnsi="Cambria" w:cs="Times New Roman"/>
      <w:b/>
      <w:bCs/>
      <w:color w:val="365F91"/>
      <w:sz w:val="28"/>
      <w:szCs w:val="28"/>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25146A"/>
    <w:rPr>
      <w:rFonts w:ascii="Cambria" w:eastAsia="Times New Roman" w:hAnsi="Cambria" w:cs="Times New Roman"/>
      <w:b/>
      <w:bCs/>
      <w:color w:val="365F91"/>
      <w:sz w:val="28"/>
      <w:szCs w:val="28"/>
    </w:rPr>
  </w:style>
  <w:style w:type="paragraph" w:customStyle="1" w:styleId="FarbigeListe-Akzent11">
    <w:name w:val="Farbige Liste - Akzent 11"/>
    <w:basedOn w:val="Standard"/>
    <w:uiPriority w:val="34"/>
    <w:qFormat/>
    <w:rsid w:val="0025146A"/>
    <w:pPr>
      <w:keepNext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contextualSpacing/>
      <w:jc w:val="left"/>
    </w:pPr>
    <w:rPr>
      <w:rFonts w:ascii="Calibri" w:hAnsi="Calibri" w:cs="Times New Roman"/>
      <w:color w:val="auto"/>
      <w:bdr w:val="none" w:sz="0" w:space="0" w:color="auto"/>
    </w:rPr>
  </w:style>
  <w:style w:type="table" w:styleId="MittleresRaster3">
    <w:name w:val="Medium Grid 3"/>
    <w:basedOn w:val="NormaleTabelle"/>
    <w:uiPriority w:val="60"/>
    <w:rsid w:val="006D461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ellenraster">
    <w:name w:val="Table Grid"/>
    <w:basedOn w:val="NormaleTabelle"/>
    <w:uiPriority w:val="59"/>
    <w:rsid w:val="001237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uiPriority w:val="99"/>
    <w:semiHidden/>
    <w:unhideWhenUsed/>
    <w:rsid w:val="00CD495D"/>
    <w:rPr>
      <w:sz w:val="16"/>
      <w:szCs w:val="16"/>
    </w:rPr>
  </w:style>
  <w:style w:type="paragraph" w:styleId="Kommentartext">
    <w:name w:val="annotation text"/>
    <w:basedOn w:val="Standard"/>
    <w:link w:val="KommentartextZchn"/>
    <w:uiPriority w:val="99"/>
    <w:semiHidden/>
    <w:unhideWhenUsed/>
    <w:rsid w:val="00CD495D"/>
    <w:rPr>
      <w:sz w:val="20"/>
      <w:szCs w:val="20"/>
    </w:rPr>
  </w:style>
  <w:style w:type="character" w:customStyle="1" w:styleId="KommentartextZchn">
    <w:name w:val="Kommentartext Zchn"/>
    <w:link w:val="Kommentartext"/>
    <w:uiPriority w:val="99"/>
    <w:semiHidden/>
    <w:rsid w:val="00CD495D"/>
    <w:rPr>
      <w:rFonts w:ascii="Times New Roman" w:hAnsi="Times New Roman" w:cs="Calibri"/>
      <w:color w:val="000000"/>
      <w:u w:color="000000"/>
      <w:bdr w:val="nil"/>
    </w:rPr>
  </w:style>
  <w:style w:type="paragraph" w:styleId="Kommentarthema">
    <w:name w:val="annotation subject"/>
    <w:basedOn w:val="Kommentartext"/>
    <w:next w:val="Kommentartext"/>
    <w:link w:val="KommentarthemaZchn"/>
    <w:uiPriority w:val="99"/>
    <w:semiHidden/>
    <w:unhideWhenUsed/>
    <w:rsid w:val="00CD495D"/>
    <w:rPr>
      <w:b/>
      <w:bCs/>
    </w:rPr>
  </w:style>
  <w:style w:type="character" w:customStyle="1" w:styleId="KommentarthemaZchn">
    <w:name w:val="Kommentarthema Zchn"/>
    <w:link w:val="Kommentarthema"/>
    <w:uiPriority w:val="99"/>
    <w:semiHidden/>
    <w:rsid w:val="00CD495D"/>
    <w:rPr>
      <w:rFonts w:ascii="Times New Roman" w:hAnsi="Times New Roman" w:cs="Calibri"/>
      <w:b/>
      <w:bCs/>
      <w:color w:val="000000"/>
      <w:u w:color="000000"/>
      <w:bdr w:val="nil"/>
    </w:rPr>
  </w:style>
  <w:style w:type="paragraph" w:styleId="Sprechblasentext">
    <w:name w:val="Balloon Text"/>
    <w:basedOn w:val="Standard"/>
    <w:link w:val="SprechblasentextZchn"/>
    <w:uiPriority w:val="99"/>
    <w:semiHidden/>
    <w:unhideWhenUsed/>
    <w:rsid w:val="00CD495D"/>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CD495D"/>
    <w:rPr>
      <w:rFonts w:ascii="Tahoma" w:hAnsi="Tahoma" w:cs="Tahoma"/>
      <w:color w:val="000000"/>
      <w:sz w:val="16"/>
      <w:szCs w:val="16"/>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3696">
      <w:bodyDiv w:val="1"/>
      <w:marLeft w:val="0"/>
      <w:marRight w:val="0"/>
      <w:marTop w:val="0"/>
      <w:marBottom w:val="0"/>
      <w:divBdr>
        <w:top w:val="none" w:sz="0" w:space="0" w:color="auto"/>
        <w:left w:val="none" w:sz="0" w:space="0" w:color="auto"/>
        <w:bottom w:val="none" w:sz="0" w:space="0" w:color="auto"/>
        <w:right w:val="none" w:sz="0" w:space="0" w:color="auto"/>
      </w:divBdr>
    </w:div>
    <w:div w:id="51278321">
      <w:bodyDiv w:val="1"/>
      <w:marLeft w:val="0"/>
      <w:marRight w:val="0"/>
      <w:marTop w:val="0"/>
      <w:marBottom w:val="0"/>
      <w:divBdr>
        <w:top w:val="none" w:sz="0" w:space="0" w:color="auto"/>
        <w:left w:val="none" w:sz="0" w:space="0" w:color="auto"/>
        <w:bottom w:val="none" w:sz="0" w:space="0" w:color="auto"/>
        <w:right w:val="none" w:sz="0" w:space="0" w:color="auto"/>
      </w:divBdr>
    </w:div>
    <w:div w:id="55514495">
      <w:bodyDiv w:val="1"/>
      <w:marLeft w:val="0"/>
      <w:marRight w:val="0"/>
      <w:marTop w:val="0"/>
      <w:marBottom w:val="0"/>
      <w:divBdr>
        <w:top w:val="none" w:sz="0" w:space="0" w:color="auto"/>
        <w:left w:val="none" w:sz="0" w:space="0" w:color="auto"/>
        <w:bottom w:val="none" w:sz="0" w:space="0" w:color="auto"/>
        <w:right w:val="none" w:sz="0" w:space="0" w:color="auto"/>
      </w:divBdr>
    </w:div>
    <w:div w:id="81227252">
      <w:bodyDiv w:val="1"/>
      <w:marLeft w:val="0"/>
      <w:marRight w:val="0"/>
      <w:marTop w:val="0"/>
      <w:marBottom w:val="0"/>
      <w:divBdr>
        <w:top w:val="none" w:sz="0" w:space="0" w:color="auto"/>
        <w:left w:val="none" w:sz="0" w:space="0" w:color="auto"/>
        <w:bottom w:val="none" w:sz="0" w:space="0" w:color="auto"/>
        <w:right w:val="none" w:sz="0" w:space="0" w:color="auto"/>
      </w:divBdr>
    </w:div>
    <w:div w:id="130751234">
      <w:bodyDiv w:val="1"/>
      <w:marLeft w:val="0"/>
      <w:marRight w:val="0"/>
      <w:marTop w:val="0"/>
      <w:marBottom w:val="0"/>
      <w:divBdr>
        <w:top w:val="none" w:sz="0" w:space="0" w:color="auto"/>
        <w:left w:val="none" w:sz="0" w:space="0" w:color="auto"/>
        <w:bottom w:val="none" w:sz="0" w:space="0" w:color="auto"/>
        <w:right w:val="none" w:sz="0" w:space="0" w:color="auto"/>
      </w:divBdr>
    </w:div>
    <w:div w:id="505021126">
      <w:bodyDiv w:val="1"/>
      <w:marLeft w:val="0"/>
      <w:marRight w:val="0"/>
      <w:marTop w:val="0"/>
      <w:marBottom w:val="0"/>
      <w:divBdr>
        <w:top w:val="none" w:sz="0" w:space="0" w:color="auto"/>
        <w:left w:val="none" w:sz="0" w:space="0" w:color="auto"/>
        <w:bottom w:val="none" w:sz="0" w:space="0" w:color="auto"/>
        <w:right w:val="none" w:sz="0" w:space="0" w:color="auto"/>
      </w:divBdr>
    </w:div>
    <w:div w:id="581062713">
      <w:bodyDiv w:val="1"/>
      <w:marLeft w:val="0"/>
      <w:marRight w:val="0"/>
      <w:marTop w:val="0"/>
      <w:marBottom w:val="0"/>
      <w:divBdr>
        <w:top w:val="none" w:sz="0" w:space="0" w:color="auto"/>
        <w:left w:val="none" w:sz="0" w:space="0" w:color="auto"/>
        <w:bottom w:val="none" w:sz="0" w:space="0" w:color="auto"/>
        <w:right w:val="none" w:sz="0" w:space="0" w:color="auto"/>
      </w:divBdr>
    </w:div>
    <w:div w:id="691953678">
      <w:bodyDiv w:val="1"/>
      <w:marLeft w:val="0"/>
      <w:marRight w:val="0"/>
      <w:marTop w:val="0"/>
      <w:marBottom w:val="0"/>
      <w:divBdr>
        <w:top w:val="none" w:sz="0" w:space="0" w:color="auto"/>
        <w:left w:val="none" w:sz="0" w:space="0" w:color="auto"/>
        <w:bottom w:val="none" w:sz="0" w:space="0" w:color="auto"/>
        <w:right w:val="none" w:sz="0" w:space="0" w:color="auto"/>
      </w:divBdr>
    </w:div>
    <w:div w:id="847451702">
      <w:bodyDiv w:val="1"/>
      <w:marLeft w:val="0"/>
      <w:marRight w:val="0"/>
      <w:marTop w:val="0"/>
      <w:marBottom w:val="0"/>
      <w:divBdr>
        <w:top w:val="none" w:sz="0" w:space="0" w:color="auto"/>
        <w:left w:val="none" w:sz="0" w:space="0" w:color="auto"/>
        <w:bottom w:val="none" w:sz="0" w:space="0" w:color="auto"/>
        <w:right w:val="none" w:sz="0" w:space="0" w:color="auto"/>
      </w:divBdr>
    </w:div>
    <w:div w:id="895552035">
      <w:bodyDiv w:val="1"/>
      <w:marLeft w:val="0"/>
      <w:marRight w:val="0"/>
      <w:marTop w:val="0"/>
      <w:marBottom w:val="0"/>
      <w:divBdr>
        <w:top w:val="none" w:sz="0" w:space="0" w:color="auto"/>
        <w:left w:val="none" w:sz="0" w:space="0" w:color="auto"/>
        <w:bottom w:val="none" w:sz="0" w:space="0" w:color="auto"/>
        <w:right w:val="none" w:sz="0" w:space="0" w:color="auto"/>
      </w:divBdr>
    </w:div>
    <w:div w:id="1014722067">
      <w:bodyDiv w:val="1"/>
      <w:marLeft w:val="0"/>
      <w:marRight w:val="0"/>
      <w:marTop w:val="0"/>
      <w:marBottom w:val="0"/>
      <w:divBdr>
        <w:top w:val="none" w:sz="0" w:space="0" w:color="auto"/>
        <w:left w:val="none" w:sz="0" w:space="0" w:color="auto"/>
        <w:bottom w:val="none" w:sz="0" w:space="0" w:color="auto"/>
        <w:right w:val="none" w:sz="0" w:space="0" w:color="auto"/>
      </w:divBdr>
    </w:div>
    <w:div w:id="1025718525">
      <w:bodyDiv w:val="1"/>
      <w:marLeft w:val="0"/>
      <w:marRight w:val="0"/>
      <w:marTop w:val="0"/>
      <w:marBottom w:val="0"/>
      <w:divBdr>
        <w:top w:val="none" w:sz="0" w:space="0" w:color="auto"/>
        <w:left w:val="none" w:sz="0" w:space="0" w:color="auto"/>
        <w:bottom w:val="none" w:sz="0" w:space="0" w:color="auto"/>
        <w:right w:val="none" w:sz="0" w:space="0" w:color="auto"/>
      </w:divBdr>
    </w:div>
    <w:div w:id="1033192111">
      <w:bodyDiv w:val="1"/>
      <w:marLeft w:val="0"/>
      <w:marRight w:val="0"/>
      <w:marTop w:val="0"/>
      <w:marBottom w:val="0"/>
      <w:divBdr>
        <w:top w:val="none" w:sz="0" w:space="0" w:color="auto"/>
        <w:left w:val="none" w:sz="0" w:space="0" w:color="auto"/>
        <w:bottom w:val="none" w:sz="0" w:space="0" w:color="auto"/>
        <w:right w:val="none" w:sz="0" w:space="0" w:color="auto"/>
      </w:divBdr>
    </w:div>
    <w:div w:id="1121417782">
      <w:bodyDiv w:val="1"/>
      <w:marLeft w:val="0"/>
      <w:marRight w:val="0"/>
      <w:marTop w:val="0"/>
      <w:marBottom w:val="0"/>
      <w:divBdr>
        <w:top w:val="none" w:sz="0" w:space="0" w:color="auto"/>
        <w:left w:val="none" w:sz="0" w:space="0" w:color="auto"/>
        <w:bottom w:val="none" w:sz="0" w:space="0" w:color="auto"/>
        <w:right w:val="none" w:sz="0" w:space="0" w:color="auto"/>
      </w:divBdr>
    </w:div>
    <w:div w:id="1148211201">
      <w:bodyDiv w:val="1"/>
      <w:marLeft w:val="0"/>
      <w:marRight w:val="0"/>
      <w:marTop w:val="0"/>
      <w:marBottom w:val="0"/>
      <w:divBdr>
        <w:top w:val="none" w:sz="0" w:space="0" w:color="auto"/>
        <w:left w:val="none" w:sz="0" w:space="0" w:color="auto"/>
        <w:bottom w:val="none" w:sz="0" w:space="0" w:color="auto"/>
        <w:right w:val="none" w:sz="0" w:space="0" w:color="auto"/>
      </w:divBdr>
    </w:div>
    <w:div w:id="1211725236">
      <w:bodyDiv w:val="1"/>
      <w:marLeft w:val="0"/>
      <w:marRight w:val="0"/>
      <w:marTop w:val="0"/>
      <w:marBottom w:val="0"/>
      <w:divBdr>
        <w:top w:val="none" w:sz="0" w:space="0" w:color="auto"/>
        <w:left w:val="none" w:sz="0" w:space="0" w:color="auto"/>
        <w:bottom w:val="none" w:sz="0" w:space="0" w:color="auto"/>
        <w:right w:val="none" w:sz="0" w:space="0" w:color="auto"/>
      </w:divBdr>
    </w:div>
    <w:div w:id="1294554907">
      <w:bodyDiv w:val="1"/>
      <w:marLeft w:val="0"/>
      <w:marRight w:val="0"/>
      <w:marTop w:val="0"/>
      <w:marBottom w:val="0"/>
      <w:divBdr>
        <w:top w:val="none" w:sz="0" w:space="0" w:color="auto"/>
        <w:left w:val="none" w:sz="0" w:space="0" w:color="auto"/>
        <w:bottom w:val="none" w:sz="0" w:space="0" w:color="auto"/>
        <w:right w:val="none" w:sz="0" w:space="0" w:color="auto"/>
      </w:divBdr>
    </w:div>
    <w:div w:id="1541818840">
      <w:bodyDiv w:val="1"/>
      <w:marLeft w:val="0"/>
      <w:marRight w:val="0"/>
      <w:marTop w:val="0"/>
      <w:marBottom w:val="0"/>
      <w:divBdr>
        <w:top w:val="none" w:sz="0" w:space="0" w:color="auto"/>
        <w:left w:val="none" w:sz="0" w:space="0" w:color="auto"/>
        <w:bottom w:val="none" w:sz="0" w:space="0" w:color="auto"/>
        <w:right w:val="none" w:sz="0" w:space="0" w:color="auto"/>
      </w:divBdr>
    </w:div>
    <w:div w:id="1554847707">
      <w:bodyDiv w:val="1"/>
      <w:marLeft w:val="0"/>
      <w:marRight w:val="0"/>
      <w:marTop w:val="0"/>
      <w:marBottom w:val="0"/>
      <w:divBdr>
        <w:top w:val="none" w:sz="0" w:space="0" w:color="auto"/>
        <w:left w:val="none" w:sz="0" w:space="0" w:color="auto"/>
        <w:bottom w:val="none" w:sz="0" w:space="0" w:color="auto"/>
        <w:right w:val="none" w:sz="0" w:space="0" w:color="auto"/>
      </w:divBdr>
    </w:div>
    <w:div w:id="1559434237">
      <w:bodyDiv w:val="1"/>
      <w:marLeft w:val="0"/>
      <w:marRight w:val="0"/>
      <w:marTop w:val="0"/>
      <w:marBottom w:val="0"/>
      <w:divBdr>
        <w:top w:val="none" w:sz="0" w:space="0" w:color="auto"/>
        <w:left w:val="none" w:sz="0" w:space="0" w:color="auto"/>
        <w:bottom w:val="none" w:sz="0" w:space="0" w:color="auto"/>
        <w:right w:val="none" w:sz="0" w:space="0" w:color="auto"/>
      </w:divBdr>
    </w:div>
    <w:div w:id="1574852065">
      <w:bodyDiv w:val="1"/>
      <w:marLeft w:val="0"/>
      <w:marRight w:val="0"/>
      <w:marTop w:val="0"/>
      <w:marBottom w:val="0"/>
      <w:divBdr>
        <w:top w:val="none" w:sz="0" w:space="0" w:color="auto"/>
        <w:left w:val="none" w:sz="0" w:space="0" w:color="auto"/>
        <w:bottom w:val="none" w:sz="0" w:space="0" w:color="auto"/>
        <w:right w:val="none" w:sz="0" w:space="0" w:color="auto"/>
      </w:divBdr>
    </w:div>
    <w:div w:id="1662808870">
      <w:bodyDiv w:val="1"/>
      <w:marLeft w:val="0"/>
      <w:marRight w:val="0"/>
      <w:marTop w:val="0"/>
      <w:marBottom w:val="0"/>
      <w:divBdr>
        <w:top w:val="none" w:sz="0" w:space="0" w:color="auto"/>
        <w:left w:val="none" w:sz="0" w:space="0" w:color="auto"/>
        <w:bottom w:val="none" w:sz="0" w:space="0" w:color="auto"/>
        <w:right w:val="none" w:sz="0" w:space="0" w:color="auto"/>
      </w:divBdr>
    </w:div>
    <w:div w:id="1738622369">
      <w:bodyDiv w:val="1"/>
      <w:marLeft w:val="0"/>
      <w:marRight w:val="0"/>
      <w:marTop w:val="0"/>
      <w:marBottom w:val="0"/>
      <w:divBdr>
        <w:top w:val="none" w:sz="0" w:space="0" w:color="auto"/>
        <w:left w:val="none" w:sz="0" w:space="0" w:color="auto"/>
        <w:bottom w:val="none" w:sz="0" w:space="0" w:color="auto"/>
        <w:right w:val="none" w:sz="0" w:space="0" w:color="auto"/>
      </w:divBdr>
    </w:div>
    <w:div w:id="1885289703">
      <w:bodyDiv w:val="1"/>
      <w:marLeft w:val="0"/>
      <w:marRight w:val="0"/>
      <w:marTop w:val="0"/>
      <w:marBottom w:val="0"/>
      <w:divBdr>
        <w:top w:val="none" w:sz="0" w:space="0" w:color="auto"/>
        <w:left w:val="none" w:sz="0" w:space="0" w:color="auto"/>
        <w:bottom w:val="none" w:sz="0" w:space="0" w:color="auto"/>
        <w:right w:val="none" w:sz="0" w:space="0" w:color="auto"/>
      </w:divBdr>
    </w:div>
    <w:div w:id="1928885299">
      <w:bodyDiv w:val="1"/>
      <w:marLeft w:val="0"/>
      <w:marRight w:val="0"/>
      <w:marTop w:val="0"/>
      <w:marBottom w:val="0"/>
      <w:divBdr>
        <w:top w:val="none" w:sz="0" w:space="0" w:color="auto"/>
        <w:left w:val="none" w:sz="0" w:space="0" w:color="auto"/>
        <w:bottom w:val="none" w:sz="0" w:space="0" w:color="auto"/>
        <w:right w:val="none" w:sz="0" w:space="0" w:color="auto"/>
      </w:divBdr>
    </w:div>
    <w:div w:id="1947999621">
      <w:bodyDiv w:val="1"/>
      <w:marLeft w:val="0"/>
      <w:marRight w:val="0"/>
      <w:marTop w:val="0"/>
      <w:marBottom w:val="0"/>
      <w:divBdr>
        <w:top w:val="none" w:sz="0" w:space="0" w:color="auto"/>
        <w:left w:val="none" w:sz="0" w:space="0" w:color="auto"/>
        <w:bottom w:val="none" w:sz="0" w:space="0" w:color="auto"/>
        <w:right w:val="none" w:sz="0" w:space="0" w:color="auto"/>
      </w:divBdr>
    </w:div>
    <w:div w:id="2021196205">
      <w:bodyDiv w:val="1"/>
      <w:marLeft w:val="0"/>
      <w:marRight w:val="0"/>
      <w:marTop w:val="0"/>
      <w:marBottom w:val="0"/>
      <w:divBdr>
        <w:top w:val="none" w:sz="0" w:space="0" w:color="auto"/>
        <w:left w:val="none" w:sz="0" w:space="0" w:color="auto"/>
        <w:bottom w:val="none" w:sz="0" w:space="0" w:color="auto"/>
        <w:right w:val="none" w:sz="0" w:space="0" w:color="auto"/>
      </w:divBdr>
    </w:div>
    <w:div w:id="203190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A6427-AD87-4B64-BB00-8A7410D4C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CENS / LuB</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Niklas Häusler</dc:creator>
  <cp:lastModifiedBy>A. Niklas Häusler</cp:lastModifiedBy>
  <cp:revision>3</cp:revision>
  <dcterms:created xsi:type="dcterms:W3CDTF">2014-11-19T13:27:00Z</dcterms:created>
  <dcterms:modified xsi:type="dcterms:W3CDTF">2014-11-19T13:29:00Z</dcterms:modified>
</cp:coreProperties>
</file>