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1" w:rsidRDefault="00B84641" w:rsidP="00B84641">
      <w:pPr>
        <w:pStyle w:val="Caption"/>
        <w:ind w:right="900"/>
      </w:pPr>
    </w:p>
    <w:p w:rsidR="00B84641" w:rsidRDefault="00B84641" w:rsidP="00B84641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06D72E48" wp14:editId="08172CF8">
            <wp:extent cx="3933825" cy="697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rictio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2"/>
                    <a:stretch/>
                  </pic:blipFill>
                  <pic:spPr bwMode="auto">
                    <a:xfrm>
                      <a:off x="0" y="0"/>
                      <a:ext cx="3932673" cy="697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641" w:rsidRPr="0071687B" w:rsidRDefault="00B84641" w:rsidP="00B84641">
      <w:pPr>
        <w:spacing w:line="480" w:lineRule="auto"/>
        <w:rPr>
          <w:b/>
        </w:rPr>
      </w:pPr>
      <w:proofErr w:type="gramStart"/>
      <w:r>
        <w:rPr>
          <w:b/>
        </w:rPr>
        <w:t>S</w:t>
      </w:r>
      <w:r w:rsidRPr="00AB590C">
        <w:rPr>
          <w:b/>
        </w:rPr>
        <w:t>2</w:t>
      </w:r>
      <w:r>
        <w:rPr>
          <w:b/>
        </w:rPr>
        <w:t xml:space="preserve"> Fig.</w:t>
      </w:r>
      <w:proofErr w:type="gramEnd"/>
      <w:r>
        <w:t xml:space="preserve">  </w:t>
      </w:r>
      <w:proofErr w:type="gramStart"/>
      <w:r w:rsidRPr="0071687B">
        <w:rPr>
          <w:b/>
        </w:rPr>
        <w:t>Transcription factor binding motifs</w:t>
      </w:r>
      <w:r>
        <w:rPr>
          <w:b/>
        </w:rPr>
        <w:t>.</w:t>
      </w:r>
      <w:proofErr w:type="gramEnd"/>
    </w:p>
    <w:p w:rsidR="00B84641" w:rsidRDefault="00B84641" w:rsidP="00B84641">
      <w:pPr>
        <w:spacing w:line="480" w:lineRule="auto"/>
      </w:pPr>
      <w:r w:rsidRPr="00AB590C">
        <w:t xml:space="preserve">Putative transcription factor binding site motifs (AP1, NF-I, IFN-γ, GMCSF) for NZSL SLC11A1 promoter sequence, with SNP (A - G) indicated in gold.  Figure output from Geneious </w:t>
      </w:r>
      <w:r>
        <w:t>with annotations manually added.</w:t>
      </w:r>
      <w:bookmarkStart w:id="0" w:name="_GoBack"/>
      <w:bookmarkEnd w:id="0"/>
    </w:p>
    <w:sectPr w:rsidR="00B8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1"/>
    <w:rsid w:val="0009707C"/>
    <w:rsid w:val="00134FFA"/>
    <w:rsid w:val="00317F99"/>
    <w:rsid w:val="00380C91"/>
    <w:rsid w:val="004D6258"/>
    <w:rsid w:val="00610560"/>
    <w:rsid w:val="0093316B"/>
    <w:rsid w:val="00B768DC"/>
    <w:rsid w:val="00B84641"/>
    <w:rsid w:val="00C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84641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84641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Osborne</dc:creator>
  <cp:lastModifiedBy>Amy Osborne</cp:lastModifiedBy>
  <cp:revision>1</cp:revision>
  <dcterms:created xsi:type="dcterms:W3CDTF">2015-02-03T23:34:00Z</dcterms:created>
  <dcterms:modified xsi:type="dcterms:W3CDTF">2015-02-03T23:38:00Z</dcterms:modified>
</cp:coreProperties>
</file>