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2E" w:rsidRPr="00F215A0" w:rsidRDefault="00997D2E" w:rsidP="00997D2E">
      <w:pPr>
        <w:keepNext/>
        <w:spacing w:after="0" w:line="480" w:lineRule="auto"/>
      </w:pPr>
      <w:bookmarkStart w:id="0" w:name="_Ref380582397"/>
      <w:r>
        <w:rPr>
          <w:b/>
        </w:rPr>
        <w:t>Methods</w:t>
      </w:r>
      <w:r w:rsidRPr="000C1E47">
        <w:rPr>
          <w:b/>
        </w:rPr>
        <w:t xml:space="preserve"> </w:t>
      </w:r>
      <w:r>
        <w:rPr>
          <w:b/>
        </w:rPr>
        <w:t>S1</w:t>
      </w:r>
      <w:r w:rsidRPr="000C1E47">
        <w:rPr>
          <w:b/>
        </w:rPr>
        <w:t>.</w:t>
      </w:r>
      <w:r w:rsidRPr="00F215A0">
        <w:t xml:space="preserve"> </w:t>
      </w:r>
      <w:r>
        <w:t xml:space="preserve">Preparation of </w:t>
      </w:r>
      <w:r w:rsidR="0041464E">
        <w:t>c</w:t>
      </w:r>
      <w:r>
        <w:t xml:space="preserve">ollagen </w:t>
      </w:r>
      <w:r w:rsidR="0041464E">
        <w:t>h</w:t>
      </w:r>
      <w:r>
        <w:t>ydrogels</w:t>
      </w:r>
      <w:r w:rsidRPr="00F215A0">
        <w:t>.</w:t>
      </w:r>
    </w:p>
    <w:bookmarkEnd w:id="0"/>
    <w:p w:rsidR="00997D2E" w:rsidRDefault="00997D2E" w:rsidP="00997D2E">
      <w:pPr>
        <w:spacing w:after="0" w:line="480" w:lineRule="auto"/>
        <w:jc w:val="both"/>
      </w:pPr>
      <w:r>
        <w:t>Type I collagen was acid-extracted as follows: Tendons removed from rat tails obtained from young male Sprague-</w:t>
      </w:r>
      <w:proofErr w:type="spellStart"/>
      <w:r>
        <w:t>Dawley</w:t>
      </w:r>
      <w:proofErr w:type="spellEnd"/>
      <w:r>
        <w:t xml:space="preserve"> rats (RAT216154-216228, </w:t>
      </w:r>
      <w:proofErr w:type="spellStart"/>
      <w:r>
        <w:t>BioreclamationIVT</w:t>
      </w:r>
      <w:proofErr w:type="spellEnd"/>
      <w:r>
        <w:t>) were added to 0.01 M (pH 2.0) hydrochloric acid (</w:t>
      </w:r>
      <w:proofErr w:type="spellStart"/>
      <w:r>
        <w:t>HCl</w:t>
      </w:r>
      <w:proofErr w:type="spellEnd"/>
      <w:r>
        <w:t xml:space="preserve">, Sigma) at 4°C, with a volume of approximately 30 </w:t>
      </w:r>
      <w:proofErr w:type="spellStart"/>
      <w:r>
        <w:t>mL</w:t>
      </w:r>
      <w:proofErr w:type="spellEnd"/>
      <w:r>
        <w:t xml:space="preserve">/tail. The solution was placed in an ice bath and stirred overnight using a magnetic stir plate. Subsequently, the solution was centrifuged at 30,000 </w:t>
      </w:r>
      <w:r w:rsidRPr="009B20DA">
        <w:rPr>
          <w:i/>
        </w:rPr>
        <w:t xml:space="preserve">g </w:t>
      </w:r>
      <w:r>
        <w:t xml:space="preserve">for 45 minutes to remove insoluble components. The supernatant was frozen and lyophilized to obtain collagen protein. Lyophilized collagen was stored up to 6 months at -20°C. For reconstitution, a mass of lyophilized collagen was weighed and added to 0.01 M </w:t>
      </w:r>
      <w:proofErr w:type="spellStart"/>
      <w:r>
        <w:t>HCl</w:t>
      </w:r>
      <w:proofErr w:type="spellEnd"/>
      <w:r>
        <w:t xml:space="preserve"> to achieve solution concentrations of 8, 12, 16, and 20 mg/ml. Collagen and acid were mixed, allowed to reconstitute overnight at 4°C, mixed again, and centrifuged for 60 seconds at 1800 </w:t>
      </w:r>
      <w:r w:rsidRPr="009B20DA">
        <w:rPr>
          <w:i/>
        </w:rPr>
        <w:t>g</w:t>
      </w:r>
      <w:r>
        <w:t xml:space="preserve"> to remove bubbles. Collagen solutions were stored up to 6 weeks at 4°C.</w:t>
      </w:r>
    </w:p>
    <w:p w:rsidR="00997D2E" w:rsidRDefault="00997D2E" w:rsidP="00997D2E">
      <w:pPr>
        <w:spacing w:after="0" w:line="480" w:lineRule="auto"/>
        <w:jc w:val="both"/>
      </w:pPr>
    </w:p>
    <w:p w:rsidR="00997D2E" w:rsidRDefault="00997D2E" w:rsidP="00997D2E">
      <w:pPr>
        <w:spacing w:after="0" w:line="480" w:lineRule="auto"/>
        <w:jc w:val="both"/>
      </w:pPr>
      <w:r>
        <w:t>Hydrogels were prepared by combining acidic collagen with concentrated cell culture medium (10X Dulbecco’s Modified Eagle’s Medium (DMEM), Sigma D2429), buffered cell culture medium (1X DMEM supplemented with glucose, sodium bicarbonate, and L-glutamine, Sigma D6046), and neutralization agent (1N sodium hydroxide (</w:t>
      </w:r>
      <w:proofErr w:type="spellStart"/>
      <w:r>
        <w:t>NaOH</w:t>
      </w:r>
      <w:proofErr w:type="spellEnd"/>
      <w:r>
        <w:t xml:space="preserve">), Fisher) according to the following recipe (by volume): 0.1 units 10X DMEM, 0.5 units collagen solution, </w:t>
      </w:r>
      <w:proofErr w:type="spellStart"/>
      <w:r w:rsidRPr="00662EF9">
        <w:rPr>
          <w:i/>
        </w:rPr>
        <w:t>k</w:t>
      </w:r>
      <w:r w:rsidRPr="00662EF9">
        <w:rPr>
          <w:i/>
          <w:vertAlign w:val="subscript"/>
        </w:rPr>
        <w:t>NaOH</w:t>
      </w:r>
      <w:proofErr w:type="spellEnd"/>
      <w:r>
        <w:t xml:space="preserve"> units 1N </w:t>
      </w:r>
      <w:proofErr w:type="spellStart"/>
      <w:r>
        <w:t>NaOH</w:t>
      </w:r>
      <w:proofErr w:type="spellEnd"/>
      <w:r>
        <w:t xml:space="preserve"> (dependent on desired pH and absolute collagen concentration, Equation </w:t>
      </w:r>
      <w:r>
        <w:rPr>
          <w:noProof/>
        </w:rPr>
        <w:t>1</w:t>
      </w:r>
      <w:r>
        <w:t xml:space="preserve">), remaining units 1X DMEM. To obtain consistent hydrogel pH, a collagen solution with twice the final hydrogel concentration was used. A calibration formula for pH was obtained by adjusting absolute collagen concentration (maintaining the 2:1 dilution ratio) and </w:t>
      </w:r>
      <w:proofErr w:type="spellStart"/>
      <w:r>
        <w:t>NaOH</w:t>
      </w:r>
      <w:proofErr w:type="spellEnd"/>
      <w:r>
        <w:t xml:space="preserve"> fraction in hydrogels and measuring pH of the resulting solution:</w:t>
      </w:r>
    </w:p>
    <w:p w:rsidR="00997D2E" w:rsidRDefault="00997D2E" w:rsidP="00997D2E">
      <w:pPr>
        <w:spacing w:after="0" w:line="480" w:lineRule="auto"/>
        <w:jc w:val="both"/>
      </w:pPr>
    </w:p>
    <w:tbl>
      <w:tblPr>
        <w:tblStyle w:val="Tabellengitternetz"/>
        <w:tblW w:w="48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5"/>
        <w:gridCol w:w="3966"/>
        <w:gridCol w:w="2533"/>
      </w:tblGrid>
      <w:tr w:rsidR="00997D2E" w:rsidTr="00CB3584">
        <w:trPr>
          <w:cantSplit/>
          <w:trHeight w:val="765"/>
          <w:jc w:val="center"/>
        </w:trPr>
        <w:tc>
          <w:tcPr>
            <w:tcW w:w="1539" w:type="pct"/>
          </w:tcPr>
          <w:p w:rsidR="00997D2E" w:rsidRPr="002A37DB" w:rsidRDefault="00997D2E" w:rsidP="00CB3584">
            <w:pPr>
              <w:spacing w:line="480" w:lineRule="auto"/>
              <w:jc w:val="both"/>
              <w:rPr>
                <w:position w:val="-32"/>
              </w:rPr>
            </w:pPr>
          </w:p>
        </w:tc>
        <w:tc>
          <w:tcPr>
            <w:tcW w:w="1923" w:type="pct"/>
            <w:vAlign w:val="center"/>
          </w:tcPr>
          <w:p w:rsidR="00997D2E" w:rsidRDefault="00997D2E" w:rsidP="00CB3584">
            <w:pPr>
              <w:spacing w:line="480" w:lineRule="auto"/>
              <w:jc w:val="both"/>
            </w:pPr>
            <w:r>
              <w:rPr>
                <w:noProof/>
              </w:rPr>
              <w:drawing>
                <wp:inline distT="0" distB="0" distL="0" distR="0">
                  <wp:extent cx="2381250" cy="228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1250" cy="228600"/>
                          </a:xfrm>
                          <a:prstGeom prst="rect">
                            <a:avLst/>
                          </a:prstGeom>
                          <a:noFill/>
                          <a:ln w="9525">
                            <a:noFill/>
                            <a:miter lim="800000"/>
                            <a:headEnd/>
                            <a:tailEnd/>
                          </a:ln>
                        </pic:spPr>
                      </pic:pic>
                    </a:graphicData>
                  </a:graphic>
                </wp:inline>
              </w:drawing>
            </w:r>
          </w:p>
        </w:tc>
        <w:tc>
          <w:tcPr>
            <w:tcW w:w="1538" w:type="pct"/>
            <w:vAlign w:val="center"/>
          </w:tcPr>
          <w:p w:rsidR="00997D2E" w:rsidRPr="00C917D8" w:rsidRDefault="00997D2E" w:rsidP="00CB3584">
            <w:pPr>
              <w:pStyle w:val="Beschriftung"/>
              <w:spacing w:line="480" w:lineRule="auto"/>
              <w:jc w:val="right"/>
            </w:pPr>
            <w:bookmarkStart w:id="1" w:name="_Ref381278703"/>
            <w:r>
              <w:t xml:space="preserve">Equation </w:t>
            </w:r>
            <w:r>
              <w:rPr>
                <w:noProof/>
              </w:rPr>
              <w:t>1</w:t>
            </w:r>
            <w:bookmarkEnd w:id="1"/>
          </w:p>
        </w:tc>
      </w:tr>
    </w:tbl>
    <w:p w:rsidR="00997D2E" w:rsidRDefault="00997D2E" w:rsidP="00997D2E">
      <w:pPr>
        <w:spacing w:after="0" w:line="480" w:lineRule="auto"/>
        <w:jc w:val="both"/>
      </w:pPr>
    </w:p>
    <w:p w:rsidR="00997D2E" w:rsidRDefault="00997D2E" w:rsidP="00997D2E">
      <w:pPr>
        <w:spacing w:after="0" w:line="480" w:lineRule="auto"/>
        <w:jc w:val="both"/>
      </w:pPr>
      <w:r>
        <w:t xml:space="preserve">where </w:t>
      </w:r>
      <w:proofErr w:type="spellStart"/>
      <w:r w:rsidRPr="00180BA0">
        <w:rPr>
          <w:i/>
        </w:rPr>
        <w:t>k</w:t>
      </w:r>
      <w:r w:rsidRPr="00180BA0">
        <w:rPr>
          <w:i/>
          <w:vertAlign w:val="subscript"/>
        </w:rPr>
        <w:t>NaOH</w:t>
      </w:r>
      <w:proofErr w:type="spellEnd"/>
      <w:r>
        <w:t xml:space="preserve"> is the volume fraction of 1N </w:t>
      </w:r>
      <w:proofErr w:type="spellStart"/>
      <w:r>
        <w:t>NaOH</w:t>
      </w:r>
      <w:proofErr w:type="spellEnd"/>
      <w:r>
        <w:t xml:space="preserve"> in the hydrogel and </w:t>
      </w:r>
      <w:r w:rsidRPr="00180BA0">
        <w:rPr>
          <w:i/>
        </w:rPr>
        <w:t>C</w:t>
      </w:r>
      <w:r>
        <w:t xml:space="preserve"> is the collagen concentration in the hydrogel, in mg/ml. This calibration formula was developed and tested for pH-controllable hydrogels using the constituents listed; its applicability to alternate hydrogel preparations (using acetic acid-solubilized collagen, for instance) is not known.</w:t>
      </w:r>
    </w:p>
    <w:p w:rsidR="00997D2E" w:rsidRDefault="00997D2E" w:rsidP="00997D2E">
      <w:pPr>
        <w:spacing w:after="0" w:line="480" w:lineRule="auto"/>
        <w:jc w:val="both"/>
      </w:pPr>
    </w:p>
    <w:p w:rsidR="00997D2E" w:rsidRDefault="00997D2E" w:rsidP="00997D2E">
      <w:pPr>
        <w:spacing w:after="0" w:line="480" w:lineRule="auto"/>
        <w:jc w:val="both"/>
      </w:pPr>
      <w:r>
        <w:t xml:space="preserve">For fabrication of all hydrogels, 10X DMEM, 1X DMEM, and 1N </w:t>
      </w:r>
      <w:proofErr w:type="spellStart"/>
      <w:r>
        <w:t>NaOH</w:t>
      </w:r>
      <w:proofErr w:type="spellEnd"/>
      <w:r>
        <w:t xml:space="preserve"> were mixed over ice. After </w:t>
      </w:r>
      <w:r w:rsidRPr="002127D6">
        <w:t xml:space="preserve">the </w:t>
      </w:r>
      <w:r>
        <w:t xml:space="preserve">acidic </w:t>
      </w:r>
      <w:r w:rsidRPr="002127D6">
        <w:t xml:space="preserve">collagen was added, the solution was mixed using a spatula, taking care to avoid </w:t>
      </w:r>
      <w:r>
        <w:t>bubble formation</w:t>
      </w:r>
      <w:r w:rsidRPr="002127D6">
        <w:t xml:space="preserve">. The hydrogel was transferred to an application-specific mold (Figure </w:t>
      </w:r>
      <w:r>
        <w:t>S2</w:t>
      </w:r>
      <w:r w:rsidRPr="002127D6">
        <w:t>) and incubated</w:t>
      </w:r>
      <w:r>
        <w:t xml:space="preserve"> at either 23°C or 37°C for a duration at least twice the polymerization half-time as determined by kinetics measurements</w:t>
      </w:r>
      <w:r w:rsidR="00CA3B6F">
        <w:t>.</w:t>
      </w:r>
    </w:p>
    <w:p w:rsidR="00997D2E" w:rsidRDefault="00997D2E" w:rsidP="00997D2E">
      <w:pPr>
        <w:spacing w:after="0" w:line="480" w:lineRule="auto"/>
        <w:jc w:val="both"/>
      </w:pPr>
    </w:p>
    <w:p w:rsidR="00997D2E" w:rsidRDefault="00997D2E" w:rsidP="00997D2E">
      <w:pPr>
        <w:spacing w:after="0" w:line="480" w:lineRule="auto"/>
        <w:jc w:val="center"/>
        <w:rPr>
          <w:b/>
        </w:rPr>
      </w:pPr>
      <w:r>
        <w:rPr>
          <w:b/>
        </w:rPr>
        <w:t>Figure S2</w:t>
      </w:r>
    </w:p>
    <w:p w:rsidR="00997D2E" w:rsidRPr="00580779" w:rsidRDefault="00997D2E" w:rsidP="00997D2E">
      <w:pPr>
        <w:spacing w:after="0" w:line="480" w:lineRule="auto"/>
        <w:jc w:val="both"/>
        <w:rPr>
          <w:b/>
        </w:rPr>
      </w:pPr>
    </w:p>
    <w:p w:rsidR="00997D2E" w:rsidRDefault="00997D2E" w:rsidP="00997D2E">
      <w:pPr>
        <w:spacing w:after="0" w:line="480" w:lineRule="auto"/>
        <w:jc w:val="both"/>
      </w:pPr>
      <w:r>
        <w:t xml:space="preserve">Hydrogels for polymerization kinetics measurements were prepared directly in polystyrene spectrophotometric </w:t>
      </w:r>
      <w:proofErr w:type="spellStart"/>
      <w:r w:rsidRPr="007F6260">
        <w:t>cuvettes</w:t>
      </w:r>
      <w:proofErr w:type="spellEnd"/>
      <w:r w:rsidRPr="007F6260">
        <w:t xml:space="preserve"> (</w:t>
      </w:r>
      <w:proofErr w:type="spellStart"/>
      <w:r>
        <w:t>Schaumaplast</w:t>
      </w:r>
      <w:proofErr w:type="spellEnd"/>
      <w:r>
        <w:t xml:space="preserve"> 10 mm </w:t>
      </w:r>
      <w:proofErr w:type="spellStart"/>
      <w:r>
        <w:t>lightpath</w:t>
      </w:r>
      <w:proofErr w:type="spellEnd"/>
      <w:r w:rsidRPr="007F6260">
        <w:t xml:space="preserve">, </w:t>
      </w:r>
      <w:r>
        <w:t>Fisher</w:t>
      </w:r>
      <w:r w:rsidRPr="007F6260">
        <w:t>)</w:t>
      </w:r>
      <w:r>
        <w:t xml:space="preserve"> (</w:t>
      </w:r>
      <w:r w:rsidRPr="002127D6">
        <w:t xml:space="preserve">Figure </w:t>
      </w:r>
      <w:r>
        <w:t>S2a)</w:t>
      </w:r>
      <w:r w:rsidRPr="007F6260">
        <w:t>. After</w:t>
      </w:r>
      <w:r>
        <w:t xml:space="preserve"> mixing, </w:t>
      </w:r>
      <w:proofErr w:type="spellStart"/>
      <w:r>
        <w:t>cuvettes</w:t>
      </w:r>
      <w:proofErr w:type="spellEnd"/>
      <w:r>
        <w:t xml:space="preserve"> were capped, placed into a spectrophotometer sample block preset to the desired incubation temperature with a </w:t>
      </w:r>
      <w:proofErr w:type="spellStart"/>
      <w:r>
        <w:t>Peltier</w:t>
      </w:r>
      <w:proofErr w:type="spellEnd"/>
      <w:r>
        <w:t xml:space="preserve"> device, and data recording begun immediately. </w:t>
      </w:r>
    </w:p>
    <w:p w:rsidR="00997D2E" w:rsidRDefault="00997D2E" w:rsidP="00997D2E">
      <w:pPr>
        <w:spacing w:after="0" w:line="480" w:lineRule="auto"/>
        <w:jc w:val="both"/>
      </w:pPr>
    </w:p>
    <w:p w:rsidR="00997D2E" w:rsidRDefault="00997D2E" w:rsidP="00997D2E">
      <w:pPr>
        <w:spacing w:after="0" w:line="480" w:lineRule="auto"/>
        <w:jc w:val="both"/>
      </w:pPr>
      <w:r>
        <w:t xml:space="preserve">Hydrogels for confined compression experiments were prepared in 15 </w:t>
      </w:r>
      <w:proofErr w:type="spellStart"/>
      <w:r>
        <w:t>mL</w:t>
      </w:r>
      <w:proofErr w:type="spellEnd"/>
      <w:r>
        <w:t xml:space="preserve"> centrifuge tubes. After mixing, 600 µL volumes were dispensed using a syringe into cylindrical molds (</w:t>
      </w:r>
      <w:r w:rsidRPr="0087006B">
        <w:t>Ø 9.5 mm,</w:t>
      </w:r>
      <w:r>
        <w:t xml:space="preserve"> height 9.35 mm), sealed with </w:t>
      </w:r>
      <w:proofErr w:type="spellStart"/>
      <w:r>
        <w:t>coverslips</w:t>
      </w:r>
      <w:proofErr w:type="spellEnd"/>
      <w:r>
        <w:t xml:space="preserve"> to prevent evaporation, and polymerized in an incubator set to the desired temperature. The resulting cylindrical hydrogels had a diameter of 9.5 mm and height 8.5 mm (</w:t>
      </w:r>
      <w:r w:rsidRPr="002127D6">
        <w:t xml:space="preserve">Figure </w:t>
      </w:r>
      <w:r>
        <w:t xml:space="preserve">S2b). </w:t>
      </w:r>
    </w:p>
    <w:p w:rsidR="00997D2E" w:rsidRDefault="00997D2E" w:rsidP="00997D2E">
      <w:pPr>
        <w:spacing w:after="0" w:line="480" w:lineRule="auto"/>
        <w:jc w:val="both"/>
      </w:pPr>
    </w:p>
    <w:p w:rsidR="00997D2E" w:rsidRDefault="00997D2E" w:rsidP="00997D2E">
      <w:pPr>
        <w:spacing w:after="0" w:line="480" w:lineRule="auto"/>
        <w:jc w:val="both"/>
      </w:pPr>
      <w:r>
        <w:t xml:space="preserve">For confocal imaging, solutions were prepared similarly to those for compression tests but </w:t>
      </w:r>
      <w:proofErr w:type="spellStart"/>
      <w:r>
        <w:t>pipetted</w:t>
      </w:r>
      <w:proofErr w:type="spellEnd"/>
      <w:r>
        <w:t xml:space="preserve"> into multi-well </w:t>
      </w:r>
      <w:r w:rsidRPr="0087006B">
        <w:t>slides (Shandon</w:t>
      </w:r>
      <w:r>
        <w:t xml:space="preserve"> Multi-Spot Slides</w:t>
      </w:r>
      <w:r w:rsidRPr="0087006B">
        <w:t>, Thermo) to</w:t>
      </w:r>
      <w:r>
        <w:t xml:space="preserve"> obtain hydrogels approximately </w:t>
      </w:r>
      <w:r w:rsidRPr="0087006B">
        <w:t xml:space="preserve">100 </w:t>
      </w:r>
      <w:r>
        <w:t>µ</w:t>
      </w:r>
      <w:r w:rsidRPr="0087006B">
        <w:t xml:space="preserve">m thick with </w:t>
      </w:r>
      <w:r>
        <w:t xml:space="preserve">a </w:t>
      </w:r>
      <w:r w:rsidRPr="0087006B">
        <w:t>diameter</w:t>
      </w:r>
      <w:r>
        <w:t xml:space="preserve"> of</w:t>
      </w:r>
      <w:r w:rsidRPr="0087006B">
        <w:t xml:space="preserve"> </w:t>
      </w:r>
      <w:r>
        <w:t>6</w:t>
      </w:r>
      <w:r w:rsidRPr="0087006B">
        <w:t xml:space="preserve"> mm</w:t>
      </w:r>
      <w:r>
        <w:t xml:space="preserve"> (</w:t>
      </w:r>
      <w:r w:rsidRPr="002127D6">
        <w:t xml:space="preserve">Figure </w:t>
      </w:r>
      <w:r>
        <w:t>S2c). Furthermore, during solution preparation, a portion</w:t>
      </w:r>
      <w:r w:rsidRPr="0087006B">
        <w:t xml:space="preserve"> of the 1X DMEM (1% of the </w:t>
      </w:r>
      <w:r>
        <w:t xml:space="preserve">total </w:t>
      </w:r>
      <w:r w:rsidRPr="0087006B">
        <w:t xml:space="preserve">hydrogel volume) was replaced with an aqueous </w:t>
      </w:r>
      <w:proofErr w:type="spellStart"/>
      <w:r w:rsidRPr="0087006B">
        <w:t>dextran</w:t>
      </w:r>
      <w:proofErr w:type="spellEnd"/>
      <w:r w:rsidRPr="0087006B">
        <w:t xml:space="preserve"> solution (</w:t>
      </w:r>
      <w:r>
        <w:t>5</w:t>
      </w:r>
      <w:r w:rsidRPr="0087006B">
        <w:t xml:space="preserve">0 mg/ml for </w:t>
      </w:r>
      <w:r>
        <w:t>1.4</w:t>
      </w:r>
      <w:r w:rsidRPr="0087006B">
        <w:t xml:space="preserve">, </w:t>
      </w:r>
      <w:r>
        <w:t>4.5</w:t>
      </w:r>
      <w:r w:rsidRPr="0087006B">
        <w:t xml:space="preserve">, </w:t>
      </w:r>
      <w:r>
        <w:t xml:space="preserve">and 6.0 nm </w:t>
      </w:r>
      <w:proofErr w:type="spellStart"/>
      <w:r>
        <w:t>dextrans</w:t>
      </w:r>
      <w:proofErr w:type="spellEnd"/>
      <w:r>
        <w:t xml:space="preserve"> and</w:t>
      </w:r>
      <w:r w:rsidRPr="0087006B">
        <w:t xml:space="preserve"> </w:t>
      </w:r>
      <w:r>
        <w:t>4</w:t>
      </w:r>
      <w:r w:rsidRPr="0087006B">
        <w:t xml:space="preserve">0 mg/ml for </w:t>
      </w:r>
      <w:r>
        <w:t xml:space="preserve">8.5 nm </w:t>
      </w:r>
      <w:proofErr w:type="spellStart"/>
      <w:r>
        <w:t>dextran</w:t>
      </w:r>
      <w:proofErr w:type="spellEnd"/>
      <w:r w:rsidRPr="0087006B">
        <w:t xml:space="preserve">) for a final </w:t>
      </w:r>
      <w:proofErr w:type="spellStart"/>
      <w:r w:rsidRPr="0087006B">
        <w:t>dextran</w:t>
      </w:r>
      <w:proofErr w:type="spellEnd"/>
      <w:r w:rsidRPr="0087006B">
        <w:t xml:space="preserve"> concentration in the hydrogel of 0.4-0.5</w:t>
      </w:r>
      <w:r>
        <w:t xml:space="preserve"> mg/ml.</w:t>
      </w:r>
      <w:r w:rsidRPr="00670115">
        <w:t xml:space="preserve"> </w:t>
      </w:r>
      <w:r>
        <w:t xml:space="preserve">The Stokes’ radii </w:t>
      </w:r>
      <w:r>
        <w:rPr>
          <w:i/>
        </w:rPr>
        <w:t>R</w:t>
      </w:r>
      <w:r w:rsidRPr="00F60F96">
        <w:rPr>
          <w:i/>
          <w:vertAlign w:val="subscript"/>
        </w:rPr>
        <w:t>H</w:t>
      </w:r>
      <w:r>
        <w:t xml:space="preserve"> for FITC-</w:t>
      </w:r>
      <w:proofErr w:type="spellStart"/>
      <w:r>
        <w:t>dextrans</w:t>
      </w:r>
      <w:proofErr w:type="spellEnd"/>
      <w:r>
        <w:t xml:space="preserve"> (1.4, 4.5, 6.0 and 8.5 nm for 4, 40, 70, 150 </w:t>
      </w:r>
      <w:proofErr w:type="spellStart"/>
      <w:r>
        <w:t>kDa</w:t>
      </w:r>
      <w:proofErr w:type="spellEnd"/>
      <w:r>
        <w:t>), which scale nearly linearly with the square root of the molecular weight, were obtained from the supplier (Sigma Product Information Sheet FD-4).</w:t>
      </w:r>
    </w:p>
    <w:p w:rsidR="00997D2E" w:rsidRDefault="00997D2E" w:rsidP="00997D2E">
      <w:pPr>
        <w:spacing w:after="0" w:line="480" w:lineRule="auto"/>
        <w:jc w:val="both"/>
      </w:pPr>
    </w:p>
    <w:p w:rsidR="00997D2E" w:rsidRDefault="00997D2E" w:rsidP="00997D2E">
      <w:pPr>
        <w:spacing w:after="0" w:line="480" w:lineRule="auto"/>
        <w:jc w:val="both"/>
      </w:pPr>
      <w:r>
        <w:t xml:space="preserve">Fabrication parameters which can affect hydrogel properties but were not varied in this study were selected to match those most prevalent in the literature. They include collagen source and solubilization (hydrochloric acid-extracted rat tail tendon), solution components (DMEM and </w:t>
      </w:r>
      <w:proofErr w:type="spellStart"/>
      <w:r>
        <w:t>NaOH</w:t>
      </w:r>
      <w:proofErr w:type="spellEnd"/>
      <w:r>
        <w:t xml:space="preserve">), and ionic strength (~130 </w:t>
      </w:r>
      <w:proofErr w:type="spellStart"/>
      <w:r>
        <w:t>mM</w:t>
      </w:r>
      <w:proofErr w:type="spellEnd"/>
      <w:r>
        <w:t>). The numerical data presented in this study should be interpreted in the context of these fixed parameters.</w:t>
      </w:r>
    </w:p>
    <w:p w:rsidR="007C6BB9" w:rsidRDefault="007C6BB9"/>
    <w:sectPr w:rsidR="007C6BB9" w:rsidSect="00257CF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6499"/>
    <w:multiLevelType w:val="multilevel"/>
    <w:tmpl w:val="5BE27F5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997D2E"/>
    <w:rsid w:val="00116D8E"/>
    <w:rsid w:val="00251735"/>
    <w:rsid w:val="00257CFA"/>
    <w:rsid w:val="0041464E"/>
    <w:rsid w:val="004B6A2E"/>
    <w:rsid w:val="007C6BB9"/>
    <w:rsid w:val="00997D2E"/>
    <w:rsid w:val="00C652F0"/>
    <w:rsid w:val="00CA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D2E"/>
    <w:pPr>
      <w:spacing w:line="360" w:lineRule="auto"/>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997D2E"/>
    <w:pPr>
      <w:keepNext/>
      <w:keepLines/>
      <w:numPr>
        <w:numId w:val="1"/>
      </w:numPr>
      <w:spacing w:after="0"/>
      <w:outlineLvl w:val="0"/>
    </w:pPr>
    <w:rPr>
      <w:rFonts w:eastAsiaTheme="majorEastAsia"/>
      <w:b/>
      <w:bCs/>
    </w:rPr>
  </w:style>
  <w:style w:type="paragraph" w:styleId="berschrift2">
    <w:name w:val="heading 2"/>
    <w:basedOn w:val="berschrift1"/>
    <w:next w:val="Standard"/>
    <w:link w:val="berschrift2Zchn"/>
    <w:uiPriority w:val="9"/>
    <w:unhideWhenUsed/>
    <w:qFormat/>
    <w:rsid w:val="00997D2E"/>
    <w:pPr>
      <w:numPr>
        <w:ilvl w:val="1"/>
      </w:numPr>
      <w:ind w:left="45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7D2E"/>
    <w:rPr>
      <w:rFonts w:ascii="Times New Roman" w:eastAsiaTheme="majorEastAsia" w:hAnsi="Times New Roman" w:cs="Times New Roman"/>
      <w:b/>
      <w:bCs/>
      <w:sz w:val="24"/>
      <w:szCs w:val="24"/>
    </w:rPr>
  </w:style>
  <w:style w:type="character" w:customStyle="1" w:styleId="berschrift2Zchn">
    <w:name w:val="Überschrift 2 Zchn"/>
    <w:basedOn w:val="Absatz-Standardschriftart"/>
    <w:link w:val="berschrift2"/>
    <w:uiPriority w:val="9"/>
    <w:rsid w:val="00997D2E"/>
    <w:rPr>
      <w:rFonts w:ascii="Times New Roman" w:eastAsiaTheme="majorEastAsia" w:hAnsi="Times New Roman" w:cs="Times New Roman"/>
      <w:b/>
      <w:bCs/>
      <w:sz w:val="24"/>
      <w:szCs w:val="24"/>
    </w:rPr>
  </w:style>
  <w:style w:type="table" w:styleId="Tabellengitternetz">
    <w:name w:val="Table Grid"/>
    <w:basedOn w:val="NormaleTabelle"/>
    <w:uiPriority w:val="59"/>
    <w:rsid w:val="00997D2E"/>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997D2E"/>
    <w:pPr>
      <w:spacing w:line="240" w:lineRule="auto"/>
    </w:pPr>
    <w:rPr>
      <w:rFonts w:ascii="Arial" w:hAnsi="Arial" w:cs="Arial"/>
      <w:bCs/>
      <w:sz w:val="18"/>
      <w:szCs w:val="18"/>
    </w:rPr>
  </w:style>
  <w:style w:type="paragraph" w:styleId="Sprechblasentext">
    <w:name w:val="Balloon Text"/>
    <w:basedOn w:val="Standard"/>
    <w:link w:val="SprechblasentextZchn"/>
    <w:uiPriority w:val="99"/>
    <w:semiHidden/>
    <w:unhideWhenUsed/>
    <w:rsid w:val="00997D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Voigt</dc:creator>
  <cp:lastModifiedBy>Elizabeth Voigt</cp:lastModifiedBy>
  <cp:revision>2</cp:revision>
  <dcterms:created xsi:type="dcterms:W3CDTF">2015-01-11T14:53:00Z</dcterms:created>
  <dcterms:modified xsi:type="dcterms:W3CDTF">2015-01-11T15:19:00Z</dcterms:modified>
</cp:coreProperties>
</file>