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Look w:val="04A0"/>
      </w:tblPr>
      <w:tblGrid>
        <w:gridCol w:w="4077"/>
        <w:gridCol w:w="2410"/>
        <w:gridCol w:w="2693"/>
      </w:tblGrid>
      <w:tr w:rsidR="00473714" w:rsidTr="00F258A2">
        <w:tc>
          <w:tcPr>
            <w:tcW w:w="4077" w:type="dxa"/>
            <w:vAlign w:val="center"/>
          </w:tcPr>
          <w:p w:rsidR="00473714" w:rsidRPr="00F258A2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u w:val="single"/>
                <w:lang w:eastAsia="de-DE"/>
              </w:rPr>
            </w:pPr>
            <w:r w:rsidRPr="00F258A2">
              <w:rPr>
                <w:rFonts w:ascii="Times New Roman" w:hAnsi="Times New Roman" w:cs="Times New Roman"/>
                <w:noProof/>
                <w:u w:val="single"/>
                <w:lang w:eastAsia="de-DE"/>
              </w:rPr>
              <w:t>Number of reads</w:t>
            </w:r>
          </w:p>
        </w:tc>
        <w:tc>
          <w:tcPr>
            <w:tcW w:w="2410" w:type="dxa"/>
            <w:vAlign w:val="center"/>
          </w:tcPr>
          <w:p w:rsidR="00473714" w:rsidRPr="00C975BC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de-DE"/>
              </w:rPr>
            </w:pPr>
            <w:r w:rsidRPr="00C975BC">
              <w:rPr>
                <w:rFonts w:ascii="Times New Roman" w:hAnsi="Times New Roman" w:cs="Times New Roman"/>
                <w:b/>
                <w:noProof/>
                <w:lang w:eastAsia="de-DE"/>
              </w:rPr>
              <w:t>Oxic surface layer</w:t>
            </w:r>
          </w:p>
        </w:tc>
        <w:tc>
          <w:tcPr>
            <w:tcW w:w="2693" w:type="dxa"/>
            <w:vAlign w:val="center"/>
          </w:tcPr>
          <w:p w:rsidR="00473714" w:rsidRPr="00C975BC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de-DE"/>
              </w:rPr>
            </w:pPr>
            <w:r w:rsidRPr="00C975BC">
              <w:rPr>
                <w:rFonts w:ascii="Times New Roman" w:hAnsi="Times New Roman" w:cs="Times New Roman"/>
                <w:b/>
                <w:noProof/>
                <w:lang w:eastAsia="de-DE"/>
              </w:rPr>
              <w:t>Anoxic bulk soil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 w:rsidRPr="00C70FB0">
              <w:rPr>
                <w:rFonts w:ascii="Times New Roman" w:hAnsi="Times New Roman" w:cs="Times New Roman"/>
                <w:noProof/>
                <w:lang w:eastAsia="de-DE"/>
              </w:rPr>
              <w:t>Raw reads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 w:rsidRPr="00C70FB0">
              <w:rPr>
                <w:rFonts w:ascii="Times New Roman" w:hAnsi="Times New Roman" w:cs="Times New Roman"/>
              </w:rPr>
              <w:t>73,974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 w:rsidRPr="00C70FB0">
              <w:rPr>
                <w:rFonts w:ascii="Times New Roman" w:hAnsi="Times New Roman" w:cs="Times New Roman"/>
              </w:rPr>
              <w:t>464,906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 w:rsidRPr="00C70FB0">
              <w:rPr>
                <w:rFonts w:ascii="Times New Roman" w:hAnsi="Times New Roman" w:cs="Times New Roman"/>
              </w:rPr>
              <w:t>Exact duplicate reads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 w:rsidRPr="00C70FB0">
              <w:rPr>
                <w:rFonts w:ascii="Times New Roman" w:hAnsi="Times New Roman" w:cs="Times New Roman"/>
              </w:rPr>
              <w:t>12,020 (16.25%)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lang w:eastAsia="de-DE"/>
              </w:rPr>
            </w:pPr>
            <w:r w:rsidRPr="00C70FB0">
              <w:rPr>
                <w:rFonts w:ascii="Times New Roman" w:hAnsi="Times New Roman" w:cs="Times New Roman"/>
              </w:rPr>
              <w:t>16,179 (3.48%)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Preprocessed reads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53,121 (71.8%)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342,190 (73.6%)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0FB0">
              <w:rPr>
                <w:rFonts w:ascii="Times New Roman" w:hAnsi="Times New Roman" w:cs="Times New Roman"/>
              </w:rPr>
              <w:t>rRNA</w:t>
            </w:r>
            <w:proofErr w:type="spellEnd"/>
            <w:r w:rsidRPr="00C70FB0">
              <w:rPr>
                <w:rFonts w:ascii="Times New Roman" w:hAnsi="Times New Roman" w:cs="Times New Roman"/>
              </w:rPr>
              <w:t>-tags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4,196 (7.9%)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249,456 (72.9%)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small RNA-tags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109 (0.2%)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489 (0.15%)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putative mRNA-tags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48,816 (91.9%)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92,245 (27.0%)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BD0512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Average length</w:t>
            </w:r>
            <w:r w:rsidR="00473714" w:rsidRPr="00C70FB0">
              <w:rPr>
                <w:rFonts w:ascii="Times New Roman" w:hAnsi="Times New Roman" w:cs="Times New Roman"/>
              </w:rPr>
              <w:t xml:space="preserve"> of raw reads (</w:t>
            </w:r>
            <w:proofErr w:type="spellStart"/>
            <w:r w:rsidR="00473714" w:rsidRPr="00C70FB0">
              <w:rPr>
                <w:rFonts w:ascii="Times New Roman" w:hAnsi="Times New Roman" w:cs="Times New Roman"/>
              </w:rPr>
              <w:t>bp</w:t>
            </w:r>
            <w:proofErr w:type="spellEnd"/>
            <w:r w:rsidR="00473714" w:rsidRPr="00C70F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369.5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455.5</w:t>
            </w:r>
          </w:p>
        </w:tc>
      </w:tr>
      <w:tr w:rsidR="00473714" w:rsidTr="00F258A2">
        <w:tc>
          <w:tcPr>
            <w:tcW w:w="4077" w:type="dxa"/>
            <w:vAlign w:val="center"/>
          </w:tcPr>
          <w:p w:rsidR="00473714" w:rsidRPr="00C70FB0" w:rsidRDefault="00BD0512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Average length</w:t>
            </w:r>
            <w:bookmarkStart w:id="0" w:name="_GoBack"/>
            <w:bookmarkEnd w:id="0"/>
            <w:r w:rsidR="00473714" w:rsidRPr="00C70FB0">
              <w:rPr>
                <w:rFonts w:ascii="Times New Roman" w:hAnsi="Times New Roman" w:cs="Times New Roman"/>
              </w:rPr>
              <w:t xml:space="preserve"> of preprocessed reads</w:t>
            </w:r>
            <w:r w:rsidR="00667B9F" w:rsidRPr="00C70FB0">
              <w:rPr>
                <w:rFonts w:ascii="Times New Roman" w:hAnsi="Times New Roman" w:cs="Times New Roman"/>
              </w:rPr>
              <w:t xml:space="preserve"> </w:t>
            </w:r>
            <w:r w:rsidR="00473714" w:rsidRPr="00C70FB0">
              <w:rPr>
                <w:rFonts w:ascii="Times New Roman" w:hAnsi="Times New Roman" w:cs="Times New Roman"/>
              </w:rPr>
              <w:t>(</w:t>
            </w:r>
            <w:proofErr w:type="spellStart"/>
            <w:r w:rsidR="00473714" w:rsidRPr="00C70FB0">
              <w:rPr>
                <w:rFonts w:ascii="Times New Roman" w:hAnsi="Times New Roman" w:cs="Times New Roman"/>
              </w:rPr>
              <w:t>bp</w:t>
            </w:r>
            <w:proofErr w:type="spellEnd"/>
            <w:r w:rsidR="00473714" w:rsidRPr="00C70F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553.3</w:t>
            </w:r>
          </w:p>
        </w:tc>
        <w:tc>
          <w:tcPr>
            <w:tcW w:w="2693" w:type="dxa"/>
            <w:vAlign w:val="center"/>
          </w:tcPr>
          <w:p w:rsidR="00473714" w:rsidRPr="00C70FB0" w:rsidRDefault="00473714" w:rsidP="00F258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70FB0">
              <w:rPr>
                <w:rFonts w:ascii="Times New Roman" w:hAnsi="Times New Roman" w:cs="Times New Roman"/>
              </w:rPr>
              <w:t>480.3</w:t>
            </w:r>
          </w:p>
        </w:tc>
      </w:tr>
    </w:tbl>
    <w:p w:rsidR="009E494E" w:rsidRDefault="009E494E" w:rsidP="003F26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AA3" w:rsidRPr="003F37A5" w:rsidRDefault="00E75DDB" w:rsidP="003F3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</w:t>
      </w:r>
      <w:r w:rsidR="00473714" w:rsidRPr="00E80A72">
        <w:rPr>
          <w:rFonts w:ascii="Times New Roman" w:hAnsi="Times New Roman" w:cs="Times New Roman"/>
          <w:b/>
          <w:sz w:val="24"/>
          <w:szCs w:val="24"/>
        </w:rPr>
        <w:t xml:space="preserve">. Statistics of </w:t>
      </w:r>
      <w:r w:rsidR="009E494E">
        <w:rPr>
          <w:rFonts w:ascii="Times New Roman" w:hAnsi="Times New Roman" w:cs="Times New Roman"/>
          <w:b/>
          <w:sz w:val="24"/>
          <w:szCs w:val="24"/>
        </w:rPr>
        <w:t xml:space="preserve">functional </w:t>
      </w:r>
      <w:proofErr w:type="spellStart"/>
      <w:r w:rsidR="009E494E">
        <w:rPr>
          <w:rFonts w:ascii="Times New Roman" w:hAnsi="Times New Roman" w:cs="Times New Roman"/>
          <w:b/>
          <w:sz w:val="24"/>
          <w:szCs w:val="24"/>
        </w:rPr>
        <w:t>metatransc</w:t>
      </w:r>
      <w:r w:rsidR="00473714">
        <w:rPr>
          <w:rFonts w:ascii="Times New Roman" w:hAnsi="Times New Roman" w:cs="Times New Roman"/>
          <w:b/>
          <w:sz w:val="24"/>
          <w:szCs w:val="24"/>
        </w:rPr>
        <w:t>riptome</w:t>
      </w:r>
      <w:proofErr w:type="spellEnd"/>
      <w:r w:rsidR="00473714" w:rsidRPr="00E80A72">
        <w:rPr>
          <w:rFonts w:ascii="Times New Roman" w:hAnsi="Times New Roman" w:cs="Times New Roman"/>
          <w:b/>
          <w:sz w:val="24"/>
          <w:szCs w:val="24"/>
        </w:rPr>
        <w:t xml:space="preserve"> libraries</w:t>
      </w:r>
      <w:r w:rsidR="00473714">
        <w:rPr>
          <w:rFonts w:ascii="Times New Roman" w:hAnsi="Times New Roman" w:cs="Times New Roman"/>
          <w:b/>
          <w:sz w:val="24"/>
          <w:szCs w:val="24"/>
        </w:rPr>
        <w:t>.</w:t>
      </w:r>
      <w:r w:rsidR="00473714" w:rsidRPr="00BA661A">
        <w:rPr>
          <w:rFonts w:ascii="Times New Roman" w:hAnsi="Times New Roman" w:cs="Times New Roman"/>
          <w:sz w:val="24"/>
          <w:szCs w:val="24"/>
        </w:rPr>
        <w:t xml:space="preserve"> The proportion</w:t>
      </w:r>
      <w:r w:rsidR="00503A59">
        <w:rPr>
          <w:rFonts w:ascii="Times New Roman" w:hAnsi="Times New Roman" w:cs="Times New Roman"/>
          <w:sz w:val="24"/>
          <w:szCs w:val="24"/>
        </w:rPr>
        <w:t>s</w:t>
      </w:r>
      <w:r w:rsidR="00473714" w:rsidRPr="00BA661A">
        <w:rPr>
          <w:rFonts w:ascii="Times New Roman" w:hAnsi="Times New Roman" w:cs="Times New Roman"/>
          <w:sz w:val="24"/>
          <w:szCs w:val="24"/>
        </w:rPr>
        <w:t xml:space="preserve"> of exact dupl</w:t>
      </w:r>
      <w:r w:rsidR="00503A59">
        <w:rPr>
          <w:rFonts w:ascii="Times New Roman" w:hAnsi="Times New Roman" w:cs="Times New Roman"/>
          <w:sz w:val="24"/>
          <w:szCs w:val="24"/>
        </w:rPr>
        <w:t>icate and preprocessed reads were</w:t>
      </w:r>
      <w:r w:rsidR="00473714" w:rsidRPr="00BA661A">
        <w:rPr>
          <w:rFonts w:ascii="Times New Roman" w:hAnsi="Times New Roman" w:cs="Times New Roman"/>
          <w:sz w:val="24"/>
          <w:szCs w:val="24"/>
        </w:rPr>
        <w:t xml:space="preserve"> calculated in relation to the total number of raw reads</w:t>
      </w:r>
      <w:r w:rsidR="00473714" w:rsidRPr="00E80A72">
        <w:rPr>
          <w:rFonts w:ascii="Times New Roman" w:hAnsi="Times New Roman" w:cs="Times New Roman"/>
          <w:sz w:val="24"/>
          <w:szCs w:val="24"/>
        </w:rPr>
        <w:t>. Exact duplicate reads were omitted from further analysis</w:t>
      </w:r>
      <w:r w:rsidR="00473714">
        <w:rPr>
          <w:rFonts w:ascii="Times New Roman" w:hAnsi="Times New Roman" w:cs="Times New Roman"/>
          <w:sz w:val="24"/>
          <w:szCs w:val="24"/>
        </w:rPr>
        <w:t>. The</w:t>
      </w:r>
      <w:r w:rsidR="00473714" w:rsidRPr="00BA661A">
        <w:rPr>
          <w:rFonts w:ascii="Times New Roman" w:hAnsi="Times New Roman" w:cs="Times New Roman"/>
          <w:sz w:val="24"/>
          <w:szCs w:val="24"/>
        </w:rPr>
        <w:t xml:space="preserve"> proportion</w:t>
      </w:r>
      <w:r w:rsidR="00503A59">
        <w:rPr>
          <w:rFonts w:ascii="Times New Roman" w:hAnsi="Times New Roman" w:cs="Times New Roman"/>
          <w:sz w:val="24"/>
          <w:szCs w:val="24"/>
        </w:rPr>
        <w:t>s</w:t>
      </w:r>
      <w:r w:rsidR="00473714" w:rsidRPr="00BA661A">
        <w:rPr>
          <w:rFonts w:ascii="Times New Roman" w:hAnsi="Times New Roman" w:cs="Times New Roman"/>
          <w:sz w:val="24"/>
          <w:szCs w:val="24"/>
        </w:rPr>
        <w:t xml:space="preserve"> of reads derived from </w:t>
      </w:r>
      <w:proofErr w:type="spellStart"/>
      <w:r w:rsidR="00473714" w:rsidRPr="00BA661A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="00473714" w:rsidRPr="00BA661A">
        <w:rPr>
          <w:rFonts w:ascii="Times New Roman" w:hAnsi="Times New Roman" w:cs="Times New Roman"/>
          <w:sz w:val="24"/>
          <w:szCs w:val="24"/>
        </w:rPr>
        <w:t xml:space="preserve">, </w:t>
      </w:r>
      <w:r w:rsidR="00503A59">
        <w:rPr>
          <w:rFonts w:ascii="Times New Roman" w:hAnsi="Times New Roman" w:cs="Times New Roman"/>
          <w:sz w:val="24"/>
          <w:szCs w:val="24"/>
        </w:rPr>
        <w:t>small RNA, and putative mRNA were</w:t>
      </w:r>
      <w:r w:rsidR="00473714" w:rsidRPr="00BA661A">
        <w:rPr>
          <w:rFonts w:ascii="Times New Roman" w:hAnsi="Times New Roman" w:cs="Times New Roman"/>
          <w:sz w:val="24"/>
          <w:szCs w:val="24"/>
        </w:rPr>
        <w:t xml:space="preserve"> calculated in relation to the total number of preprocessed reads.</w:t>
      </w:r>
    </w:p>
    <w:sectPr w:rsidR="00B73AA3" w:rsidRPr="003F37A5" w:rsidSect="00B73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3714"/>
    <w:rsid w:val="003F2622"/>
    <w:rsid w:val="003F37A5"/>
    <w:rsid w:val="00412C9F"/>
    <w:rsid w:val="00473714"/>
    <w:rsid w:val="004F029A"/>
    <w:rsid w:val="00503A59"/>
    <w:rsid w:val="00505BB9"/>
    <w:rsid w:val="00667B9F"/>
    <w:rsid w:val="006C1947"/>
    <w:rsid w:val="009E494E"/>
    <w:rsid w:val="00AE6CE0"/>
    <w:rsid w:val="00B00D19"/>
    <w:rsid w:val="00B73AA3"/>
    <w:rsid w:val="00BD0512"/>
    <w:rsid w:val="00C70FB0"/>
    <w:rsid w:val="00C975BC"/>
    <w:rsid w:val="00E1580C"/>
    <w:rsid w:val="00E75DDB"/>
    <w:rsid w:val="00F2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7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liesackw</cp:lastModifiedBy>
  <cp:revision>11</cp:revision>
  <dcterms:created xsi:type="dcterms:W3CDTF">2014-04-21T11:46:00Z</dcterms:created>
  <dcterms:modified xsi:type="dcterms:W3CDTF">2015-03-12T15:10:00Z</dcterms:modified>
</cp:coreProperties>
</file>