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61" w:rsidRDefault="00B91261" w:rsidP="00B91261">
      <w:pPr>
        <w:pStyle w:val="BodyA"/>
        <w:rPr>
          <w:rFonts w:ascii="Times New Roman Bold" w:eastAsia="Times New Roman Bold" w:hAnsi="Times New Roman Bold" w:cs="Times New Roman Bold"/>
        </w:rPr>
      </w:pPr>
      <w:r>
        <w:rPr>
          <w:rFonts w:ascii="Times New Roman Bold"/>
          <w:lang w:val="fr-FR"/>
        </w:rPr>
        <w:t xml:space="preserve">S2 Table: </w:t>
      </w:r>
      <w:proofErr w:type="spellStart"/>
      <w:r>
        <w:rPr>
          <w:rFonts w:ascii="Times New Roman Bold"/>
          <w:lang w:val="fr-FR"/>
        </w:rPr>
        <w:t>Results</w:t>
      </w:r>
      <w:proofErr w:type="spellEnd"/>
      <w:r>
        <w:rPr>
          <w:rFonts w:ascii="Times New Roman Bold"/>
          <w:lang w:val="fr-FR"/>
        </w:rPr>
        <w:t xml:space="preserve"> </w:t>
      </w:r>
      <w:proofErr w:type="spellStart"/>
      <w:r>
        <w:rPr>
          <w:rFonts w:ascii="Times New Roman Bold"/>
          <w:lang w:val="fr-FR"/>
        </w:rPr>
        <w:t>Using</w:t>
      </w:r>
      <w:proofErr w:type="spellEnd"/>
      <w:r>
        <w:rPr>
          <w:rFonts w:ascii="Times New Roman Bold"/>
          <w:lang w:val="fr-FR"/>
        </w:rPr>
        <w:t xml:space="preserve"> Base-Case MESA Event Rates</w:t>
      </w:r>
    </w:p>
    <w:tbl>
      <w:tblPr>
        <w:tblW w:w="11350" w:type="dxa"/>
        <w:jc w:val="center"/>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9"/>
        <w:gridCol w:w="999"/>
        <w:gridCol w:w="998"/>
        <w:gridCol w:w="997"/>
        <w:gridCol w:w="997"/>
        <w:gridCol w:w="998"/>
        <w:gridCol w:w="998"/>
        <w:gridCol w:w="997"/>
        <w:gridCol w:w="3487"/>
      </w:tblGrid>
      <w:tr w:rsidR="00B91261" w:rsidTr="00257192">
        <w:trPr>
          <w:trHeight w:val="797"/>
          <w:jc w:val="center"/>
        </w:trPr>
        <w:tc>
          <w:tcPr>
            <w:tcW w:w="87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Scenario</w:t>
            </w:r>
          </w:p>
        </w:tc>
        <w:tc>
          <w:tcPr>
            <w:tcW w:w="9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Valuation of Outcomes</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Treat All Mean Cost ($)</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Treat All Mean Effect</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ATP III Mean Cost ($)</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ATP III Mean Effect</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CAC Mean Cost ($)</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CAC Mean Effect</w:t>
            </w:r>
          </w:p>
        </w:tc>
        <w:tc>
          <w:tcPr>
            <w:tcW w:w="34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Decision</w:t>
            </w:r>
          </w:p>
        </w:tc>
      </w:tr>
      <w:tr w:rsidR="00B91261" w:rsidTr="00257192">
        <w:trPr>
          <w:trHeight w:val="202"/>
          <w:jc w:val="center"/>
        </w:trPr>
        <w:tc>
          <w:tcPr>
            <w:tcW w:w="11350"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pPr>
            <w:r>
              <w:rPr>
                <w:rFonts w:ascii="Times New Roman Bold"/>
                <w:sz w:val="18"/>
                <w:szCs w:val="18"/>
              </w:rPr>
              <w:t>CHD Events</w:t>
            </w:r>
          </w:p>
        </w:tc>
      </w:tr>
      <w:tr w:rsidR="00B91261" w:rsidTr="00257192">
        <w:trPr>
          <w:trHeight w:val="397"/>
          <w:jc w:val="center"/>
        </w:trPr>
        <w:tc>
          <w:tcPr>
            <w:tcW w:w="87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w:t>
            </w:r>
          </w:p>
        </w:tc>
        <w:tc>
          <w:tcPr>
            <w:tcW w:w="99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2093.561</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-0.02788</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2114.508</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-0.03174</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1993.857</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-0.02665</w:t>
            </w:r>
          </w:p>
        </w:tc>
        <w:tc>
          <w:tcPr>
            <w:tcW w:w="348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-0.01555</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-0.01299</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1993.857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3</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-0.02788</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-0.03174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2024.142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-0.02904</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Treat All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4</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-0.01555</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-0.01299</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2024.142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-0.0115</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5</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3546.421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-0.04611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3519.222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-0.05233</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3304.644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-0.04448</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6</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3546.421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-0.04114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3519.222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-0.03805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3304.644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-0.03613</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7</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3546.421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-0.04611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3519.222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-0.05233</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3301.945</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-0.04807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Treat All Cost-Effective; ICER=$4,373</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8</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3546.421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-0.04114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3519.222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-0.03805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3301.945</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-0.03457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w:t>
            </w:r>
          </w:p>
        </w:tc>
      </w:tr>
      <w:tr w:rsidR="00B91261" w:rsidTr="00257192">
        <w:trPr>
          <w:trHeight w:val="192"/>
          <w:jc w:val="center"/>
        </w:trPr>
        <w:tc>
          <w:tcPr>
            <w:tcW w:w="11350" w:type="dxa"/>
            <w:gridSpan w:val="9"/>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pPr>
            <w:r>
              <w:rPr>
                <w:rFonts w:ascii="Times New Roman"/>
                <w:sz w:val="18"/>
                <w:szCs w:val="18"/>
              </w:rPr>
              <w:t>Sensitivity Analyses on Cost Parameters</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9</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1852.289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-0.02788</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2022.94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-0.03174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1840.434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-0.02665</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10</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1852.289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2022.94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1840.434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11</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3615.426</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2692.091</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2961.599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ATP III (Status Quo)</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12</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3615.005</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2703.015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2484.982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-0.0115</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13</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1968.857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14</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1999.143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-0.0115</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15</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2043.857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16</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2074.143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-0.0115</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17</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2093.561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2114.508</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2143.857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ATP III (Status Quo)</w:t>
            </w:r>
          </w:p>
        </w:tc>
      </w:tr>
      <w:tr w:rsidR="00B91261" w:rsidTr="00257192">
        <w:trPr>
          <w:trHeight w:val="397"/>
          <w:jc w:val="center"/>
        </w:trPr>
        <w:tc>
          <w:tcPr>
            <w:tcW w:w="87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18</w:t>
            </w:r>
          </w:p>
        </w:tc>
        <w:tc>
          <w:tcPr>
            <w:tcW w:w="9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2124.135</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-0.01557</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2149.257</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-0.01294</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2057.054</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-0.01287</w:t>
            </w:r>
          </w:p>
        </w:tc>
        <w:tc>
          <w:tcPr>
            <w:tcW w:w="34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202"/>
          <w:jc w:val="center"/>
        </w:trPr>
        <w:tc>
          <w:tcPr>
            <w:tcW w:w="11350"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pPr>
            <w:r>
              <w:rPr>
                <w:rFonts w:ascii="Times New Roman Bold"/>
                <w:sz w:val="18"/>
                <w:szCs w:val="18"/>
              </w:rPr>
              <w:t>CVD Events</w:t>
            </w:r>
          </w:p>
        </w:tc>
      </w:tr>
      <w:tr w:rsidR="00B91261" w:rsidTr="00257192">
        <w:trPr>
          <w:trHeight w:val="397"/>
          <w:jc w:val="center"/>
        </w:trPr>
        <w:tc>
          <w:tcPr>
            <w:tcW w:w="87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lastRenderedPageBreak/>
              <w:t>19</w:t>
            </w:r>
          </w:p>
        </w:tc>
        <w:tc>
          <w:tcPr>
            <w:tcW w:w="99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2282.603</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-0.03573</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2337.142</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-0.04084</w:t>
            </w:r>
          </w:p>
        </w:tc>
        <w:tc>
          <w:tcPr>
            <w:tcW w:w="99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2218.219</w:t>
            </w:r>
          </w:p>
        </w:tc>
        <w:tc>
          <w:tcPr>
            <w:tcW w:w="99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-0.03501</w:t>
            </w:r>
          </w:p>
        </w:tc>
        <w:tc>
          <w:tcPr>
            <w:tcW w:w="348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20</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2218.219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21</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-0.03573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-0.04084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2267.854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-0.03802</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Treat All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22</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2267.854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-0.01494</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23</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4121.711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-0.06401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4174.105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-0.07265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3922.577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-0.0629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24</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4121.711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-0.05306</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4174.105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-0.05165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3922.577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-0.04908</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25</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4121.711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-0.06401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4174.105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-0.07265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3981.108</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-0.06802</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Treat All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26</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4121.711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-0.05306</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4174.105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-0.05165</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3981.108</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-0.0488</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192"/>
          <w:jc w:val="center"/>
        </w:trPr>
        <w:tc>
          <w:tcPr>
            <w:tcW w:w="11350" w:type="dxa"/>
            <w:gridSpan w:val="9"/>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pPr>
            <w:r>
              <w:rPr>
                <w:rFonts w:ascii="Times New Roman"/>
                <w:sz w:val="18"/>
                <w:szCs w:val="18"/>
              </w:rPr>
              <w:t>Sensitivity Analyses on Cost Parameters</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27</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Events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2042.262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-0.03573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2246.071</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-0.04084</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2065.292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outlineLvl w:val="0"/>
            </w:pPr>
            <w:r>
              <w:rPr>
                <w:rFonts w:ascii="Times New Roman"/>
                <w:sz w:val="18"/>
                <w:szCs w:val="18"/>
              </w:rPr>
              <w:t>-0.03501</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28</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2042.262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2246.071</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2065.292</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29</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3798.597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2911.59</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3182.838</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ATP III (Status Quo)</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30</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3798.597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2911.59</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2726.634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-0.01494</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31</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2193.219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32</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2243.854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-0.01494</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33</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2268.219</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b/>
                <w:bCs/>
                <w:i/>
                <w:iCs/>
                <w:sz w:val="18"/>
                <w:szCs w:val="18"/>
              </w:rPr>
              <w:t>34</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2317.854</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-0.01494</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i/>
                <w:iCs/>
                <w:sz w:val="18"/>
                <w:szCs w:val="18"/>
              </w:rPr>
              <w:t>CAC Dominates ATP III</w:t>
            </w:r>
          </w:p>
        </w:tc>
      </w:tr>
      <w:tr w:rsidR="00B91261" w:rsidTr="00257192">
        <w:trPr>
          <w:trHeight w:val="392"/>
          <w:jc w:val="center"/>
        </w:trPr>
        <w:tc>
          <w:tcPr>
            <w:tcW w:w="87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35</w:t>
            </w:r>
          </w:p>
        </w:tc>
        <w:tc>
          <w:tcPr>
            <w:tcW w:w="999"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2282.603</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2337.142</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2368.217</w:t>
            </w:r>
          </w:p>
        </w:tc>
        <w:tc>
          <w:tcPr>
            <w:tcW w:w="99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nil"/>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ATP III (Status Quo)</w:t>
            </w:r>
          </w:p>
        </w:tc>
      </w:tr>
      <w:tr w:rsidR="00B91261" w:rsidTr="00257192">
        <w:trPr>
          <w:trHeight w:val="397"/>
          <w:jc w:val="center"/>
        </w:trPr>
        <w:tc>
          <w:tcPr>
            <w:tcW w:w="87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Bold"/>
                <w:sz w:val="18"/>
                <w:szCs w:val="18"/>
              </w:rPr>
              <w:t>36</w:t>
            </w:r>
          </w:p>
        </w:tc>
        <w:tc>
          <w:tcPr>
            <w:tcW w:w="99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QALYs</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2329.571</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-0.01851</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2390.841</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-0.01647</w:t>
            </w:r>
          </w:p>
        </w:tc>
        <w:tc>
          <w:tcPr>
            <w:tcW w:w="99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2298.05</w:t>
            </w:r>
          </w:p>
        </w:tc>
        <w:tc>
          <w:tcPr>
            <w:tcW w:w="99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-0.01609</w:t>
            </w:r>
          </w:p>
        </w:tc>
        <w:tc>
          <w:tcPr>
            <w:tcW w:w="348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B91261" w:rsidRDefault="00B91261" w:rsidP="00257192">
            <w:pPr>
              <w:pStyle w:val="BodyA"/>
              <w:spacing w:after="0" w:line="240" w:lineRule="auto"/>
              <w:jc w:val="center"/>
            </w:pPr>
            <w:r>
              <w:rPr>
                <w:rFonts w:ascii="Times New Roman"/>
                <w:sz w:val="18"/>
                <w:szCs w:val="18"/>
              </w:rPr>
              <w:t>CAC Dominates Both</w:t>
            </w:r>
          </w:p>
        </w:tc>
      </w:tr>
    </w:tbl>
    <w:p w:rsidR="00B91261" w:rsidRDefault="00B91261" w:rsidP="00B91261">
      <w:pPr>
        <w:pStyle w:val="BodyA"/>
        <w:spacing w:line="240" w:lineRule="auto"/>
        <w:rPr>
          <w:rFonts w:ascii="Times New Roman Bold" w:eastAsia="Times New Roman Bold" w:hAnsi="Times New Roman Bold" w:cs="Times New Roman Bold"/>
        </w:rPr>
      </w:pPr>
    </w:p>
    <w:p w:rsidR="0050720D" w:rsidRDefault="00B91261" w:rsidP="00B91261">
      <w:r w:rsidRPr="00FA5773">
        <w:rPr>
          <w:sz w:val="20"/>
          <w:szCs w:val="20"/>
        </w:rPr>
        <w:t xml:space="preserve">Note: The results presented are mean costs and effects calculated over 1,000 simulations.  Negative numbers in the mean effects columns are counts of events or losses of QALYs (depending on the valuation of outcomes). Italicized lines indicate that only patients with CAC≥100 are treated in the CAC strategy.  ICER=Incremental Cost-Effectiveness Ratio.  The model </w:t>
      </w:r>
      <w:r>
        <w:rPr>
          <w:sz w:val="20"/>
          <w:szCs w:val="20"/>
        </w:rPr>
        <w:t xml:space="preserve">scenario </w:t>
      </w:r>
      <w:r w:rsidRPr="00FA5773">
        <w:rPr>
          <w:sz w:val="20"/>
          <w:szCs w:val="20"/>
        </w:rPr>
        <w:t xml:space="preserve">numbers correspond to </w:t>
      </w:r>
      <w:r>
        <w:rPr>
          <w:sz w:val="20"/>
          <w:szCs w:val="20"/>
        </w:rPr>
        <w:t>the scenarios presented</w:t>
      </w:r>
      <w:r w:rsidRPr="00FA5773">
        <w:rPr>
          <w:sz w:val="20"/>
          <w:szCs w:val="20"/>
        </w:rPr>
        <w:t xml:space="preserve"> in Table </w:t>
      </w:r>
      <w:r>
        <w:rPr>
          <w:sz w:val="20"/>
          <w:szCs w:val="20"/>
        </w:rPr>
        <w:t>4</w:t>
      </w:r>
      <w:r w:rsidRPr="00FA5773">
        <w:rPr>
          <w:sz w:val="20"/>
          <w:szCs w:val="20"/>
        </w:rPr>
        <w:t>.</w:t>
      </w:r>
      <w:bookmarkStart w:id="0" w:name="_GoBack"/>
      <w:bookmarkEnd w:id="0"/>
    </w:p>
    <w:sectPr w:rsidR="00507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4E"/>
    <w:rsid w:val="000E1E4E"/>
    <w:rsid w:val="00100E7C"/>
    <w:rsid w:val="0050720D"/>
    <w:rsid w:val="00B91261"/>
    <w:rsid w:val="00E7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261"/>
    <w:pPr>
      <w:pBdr>
        <w:top w:val="nil"/>
        <w:left w:val="nil"/>
        <w:bottom w:val="nil"/>
        <w:right w:val="nil"/>
        <w:between w:val="nil"/>
        <w:bar w:val="nil"/>
      </w:pBdr>
      <w:spacing w:line="240" w:lineRule="auto"/>
    </w:pPr>
    <w:rPr>
      <w:rFonts w:eastAsia="Arial Unicode MS"/>
      <w:sz w:val="24"/>
      <w:szCs w:val="24"/>
      <w:bdr w:val="nil"/>
    </w:rPr>
  </w:style>
  <w:style w:type="paragraph" w:styleId="Heading1">
    <w:name w:val="heading 1"/>
    <w:basedOn w:val="Normal"/>
    <w:next w:val="Normal"/>
    <w:link w:val="Heading1Char"/>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outlineLvl w:val="0"/>
    </w:pPr>
    <w:rPr>
      <w:rFonts w:eastAsia="Times New Roman"/>
      <w:b/>
      <w:sz w:val="28"/>
      <w:bdr w:val="none" w:sz="0" w:space="0" w:color="auto"/>
    </w:rPr>
  </w:style>
  <w:style w:type="paragraph" w:styleId="Heading2">
    <w:name w:val="heading 2"/>
    <w:basedOn w:val="Normal"/>
    <w:next w:val="Normal"/>
    <w:link w:val="Heading2Char"/>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480" w:lineRule="auto"/>
      <w:outlineLvl w:val="1"/>
    </w:pPr>
    <w:rPr>
      <w:rFonts w:eastAsia="Times New Roman"/>
      <w:b/>
      <w:bdr w:val="none" w:sz="0" w:space="0" w:color="auto"/>
    </w:rPr>
  </w:style>
  <w:style w:type="paragraph" w:styleId="Heading3">
    <w:name w:val="heading 3"/>
    <w:basedOn w:val="Normal"/>
    <w:next w:val="Normal"/>
    <w:link w:val="Heading3Char"/>
    <w:qFormat/>
    <w:rsid w:val="00E718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outlineLvl w:val="2"/>
    </w:pPr>
    <w:rPr>
      <w:rFonts w:ascii="Arial" w:eastAsia="Times New Roman" w:hAnsi="Arial"/>
      <w:b/>
      <w:bCs/>
      <w:szCs w:val="26"/>
      <w:bdr w:val="none" w:sz="0" w:space="0" w:color="auto"/>
    </w:rPr>
  </w:style>
  <w:style w:type="paragraph" w:styleId="Heading4">
    <w:name w:val="heading 4"/>
    <w:basedOn w:val="Normal"/>
    <w:next w:val="Normal"/>
    <w:link w:val="Heading4Char"/>
    <w:uiPriority w:val="9"/>
    <w:unhideWhenUsed/>
    <w:qFormat/>
    <w:rsid w:val="00E7181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Cambria" w:eastAsia="MS Gothic" w:hAnsi="Cambria"/>
      <w:b/>
      <w:bCs/>
      <w:i/>
      <w:iCs/>
      <w:color w:val="4F81BD"/>
      <w:sz w:val="22"/>
      <w:szCs w:val="2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81D"/>
    <w:rPr>
      <w:b/>
      <w:sz w:val="28"/>
      <w:szCs w:val="24"/>
    </w:rPr>
  </w:style>
  <w:style w:type="character" w:customStyle="1" w:styleId="Heading2Char">
    <w:name w:val="Heading 2 Char"/>
    <w:link w:val="Heading2"/>
    <w:rsid w:val="00E7181D"/>
    <w:rPr>
      <w:b/>
      <w:sz w:val="24"/>
      <w:szCs w:val="24"/>
    </w:rPr>
  </w:style>
  <w:style w:type="character" w:customStyle="1" w:styleId="Heading3Char">
    <w:name w:val="Heading 3 Char"/>
    <w:link w:val="Heading3"/>
    <w:rsid w:val="00E7181D"/>
    <w:rPr>
      <w:rFonts w:ascii="Arial" w:hAnsi="Arial"/>
      <w:b/>
      <w:bCs/>
      <w:sz w:val="24"/>
      <w:szCs w:val="26"/>
    </w:rPr>
  </w:style>
  <w:style w:type="character" w:customStyle="1" w:styleId="Heading4Char">
    <w:name w:val="Heading 4 Char"/>
    <w:link w:val="Heading4"/>
    <w:uiPriority w:val="9"/>
    <w:rsid w:val="00E7181D"/>
    <w:rPr>
      <w:rFonts w:ascii="Cambria" w:eastAsia="MS Gothic" w:hAnsi="Cambria"/>
      <w:b/>
      <w:bCs/>
      <w:i/>
      <w:iCs/>
      <w:color w:val="4F81BD"/>
      <w:sz w:val="22"/>
      <w:szCs w:val="22"/>
      <w:lang w:val="en-AU"/>
    </w:rPr>
  </w:style>
  <w:style w:type="paragraph" w:styleId="Caption">
    <w:name w:val="caption"/>
    <w:basedOn w:val="Normal"/>
    <w:next w:val="Normal"/>
    <w:uiPriority w:val="35"/>
    <w:unhideWhenUsed/>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pPr>
    <w:rPr>
      <w:rFonts w:ascii="Calibri" w:eastAsia="Calibri" w:hAnsi="Calibri"/>
      <w:b/>
      <w:bCs/>
      <w:color w:val="4F81BD"/>
      <w:sz w:val="18"/>
      <w:szCs w:val="18"/>
      <w:bdr w:val="none" w:sz="0" w:space="0" w:color="auto"/>
      <w:lang w:val="en-AU"/>
    </w:rPr>
  </w:style>
  <w:style w:type="paragraph" w:styleId="Subtitle">
    <w:name w:val="Subtitle"/>
    <w:basedOn w:val="Normal"/>
    <w:next w:val="Normal"/>
    <w:link w:val="SubtitleChar"/>
    <w:uiPriority w:val="11"/>
    <w:qFormat/>
    <w:rsid w:val="00E7181D"/>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MS Gothic" w:hAnsi="Cambria"/>
      <w:i/>
      <w:iCs/>
      <w:color w:val="4F81BD"/>
      <w:spacing w:val="15"/>
      <w:bdr w:val="none" w:sz="0" w:space="0" w:color="auto"/>
      <w:lang w:val="en-AU"/>
    </w:rPr>
  </w:style>
  <w:style w:type="character" w:customStyle="1" w:styleId="SubtitleChar">
    <w:name w:val="Subtitle Char"/>
    <w:link w:val="Subtitle"/>
    <w:uiPriority w:val="11"/>
    <w:rsid w:val="00E7181D"/>
    <w:rPr>
      <w:rFonts w:ascii="Cambria" w:eastAsia="MS Gothic" w:hAnsi="Cambria"/>
      <w:i/>
      <w:iCs/>
      <w:color w:val="4F81BD"/>
      <w:spacing w:val="15"/>
      <w:sz w:val="24"/>
      <w:szCs w:val="24"/>
      <w:lang w:val="en-AU"/>
    </w:rPr>
  </w:style>
  <w:style w:type="paragraph" w:styleId="ListParagraph">
    <w:name w:val="List Paragraph"/>
    <w:basedOn w:val="Normal"/>
    <w:uiPriority w:val="34"/>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customStyle="1" w:styleId="BodyA">
    <w:name w:val="Body A"/>
    <w:rsid w:val="00B91261"/>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1261"/>
    <w:pPr>
      <w:pBdr>
        <w:top w:val="nil"/>
        <w:left w:val="nil"/>
        <w:bottom w:val="nil"/>
        <w:right w:val="nil"/>
        <w:between w:val="nil"/>
        <w:bar w:val="nil"/>
      </w:pBdr>
      <w:spacing w:line="240" w:lineRule="auto"/>
    </w:pPr>
    <w:rPr>
      <w:rFonts w:eastAsia="Arial Unicode MS"/>
      <w:sz w:val="24"/>
      <w:szCs w:val="24"/>
      <w:bdr w:val="nil"/>
    </w:rPr>
  </w:style>
  <w:style w:type="paragraph" w:styleId="Heading1">
    <w:name w:val="heading 1"/>
    <w:basedOn w:val="Normal"/>
    <w:next w:val="Normal"/>
    <w:link w:val="Heading1Char"/>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40" w:line="480" w:lineRule="auto"/>
      <w:outlineLvl w:val="0"/>
    </w:pPr>
    <w:rPr>
      <w:rFonts w:eastAsia="Times New Roman"/>
      <w:b/>
      <w:sz w:val="28"/>
      <w:bdr w:val="none" w:sz="0" w:space="0" w:color="auto"/>
    </w:rPr>
  </w:style>
  <w:style w:type="paragraph" w:styleId="Heading2">
    <w:name w:val="heading 2"/>
    <w:basedOn w:val="Normal"/>
    <w:next w:val="Normal"/>
    <w:link w:val="Heading2Char"/>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before="120" w:after="240" w:line="480" w:lineRule="auto"/>
      <w:outlineLvl w:val="1"/>
    </w:pPr>
    <w:rPr>
      <w:rFonts w:eastAsia="Times New Roman"/>
      <w:b/>
      <w:bdr w:val="none" w:sz="0" w:space="0" w:color="auto"/>
    </w:rPr>
  </w:style>
  <w:style w:type="paragraph" w:styleId="Heading3">
    <w:name w:val="heading 3"/>
    <w:basedOn w:val="Normal"/>
    <w:next w:val="Normal"/>
    <w:link w:val="Heading3Char"/>
    <w:qFormat/>
    <w:rsid w:val="00E7181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480" w:lineRule="auto"/>
      <w:outlineLvl w:val="2"/>
    </w:pPr>
    <w:rPr>
      <w:rFonts w:ascii="Arial" w:eastAsia="Times New Roman" w:hAnsi="Arial"/>
      <w:b/>
      <w:bCs/>
      <w:szCs w:val="26"/>
      <w:bdr w:val="none" w:sz="0" w:space="0" w:color="auto"/>
    </w:rPr>
  </w:style>
  <w:style w:type="paragraph" w:styleId="Heading4">
    <w:name w:val="heading 4"/>
    <w:basedOn w:val="Normal"/>
    <w:next w:val="Normal"/>
    <w:link w:val="Heading4Char"/>
    <w:uiPriority w:val="9"/>
    <w:unhideWhenUsed/>
    <w:qFormat/>
    <w:rsid w:val="00E7181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3"/>
    </w:pPr>
    <w:rPr>
      <w:rFonts w:ascii="Cambria" w:eastAsia="MS Gothic" w:hAnsi="Cambria"/>
      <w:b/>
      <w:bCs/>
      <w:i/>
      <w:iCs/>
      <w:color w:val="4F81BD"/>
      <w:sz w:val="22"/>
      <w:szCs w:val="2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81D"/>
    <w:rPr>
      <w:b/>
      <w:sz w:val="28"/>
      <w:szCs w:val="24"/>
    </w:rPr>
  </w:style>
  <w:style w:type="character" w:customStyle="1" w:styleId="Heading2Char">
    <w:name w:val="Heading 2 Char"/>
    <w:link w:val="Heading2"/>
    <w:rsid w:val="00E7181D"/>
    <w:rPr>
      <w:b/>
      <w:sz w:val="24"/>
      <w:szCs w:val="24"/>
    </w:rPr>
  </w:style>
  <w:style w:type="character" w:customStyle="1" w:styleId="Heading3Char">
    <w:name w:val="Heading 3 Char"/>
    <w:link w:val="Heading3"/>
    <w:rsid w:val="00E7181D"/>
    <w:rPr>
      <w:rFonts w:ascii="Arial" w:hAnsi="Arial"/>
      <w:b/>
      <w:bCs/>
      <w:sz w:val="24"/>
      <w:szCs w:val="26"/>
    </w:rPr>
  </w:style>
  <w:style w:type="character" w:customStyle="1" w:styleId="Heading4Char">
    <w:name w:val="Heading 4 Char"/>
    <w:link w:val="Heading4"/>
    <w:uiPriority w:val="9"/>
    <w:rsid w:val="00E7181D"/>
    <w:rPr>
      <w:rFonts w:ascii="Cambria" w:eastAsia="MS Gothic" w:hAnsi="Cambria"/>
      <w:b/>
      <w:bCs/>
      <w:i/>
      <w:iCs/>
      <w:color w:val="4F81BD"/>
      <w:sz w:val="22"/>
      <w:szCs w:val="22"/>
      <w:lang w:val="en-AU"/>
    </w:rPr>
  </w:style>
  <w:style w:type="paragraph" w:styleId="Caption">
    <w:name w:val="caption"/>
    <w:basedOn w:val="Normal"/>
    <w:next w:val="Normal"/>
    <w:uiPriority w:val="35"/>
    <w:unhideWhenUsed/>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pPr>
    <w:rPr>
      <w:rFonts w:ascii="Calibri" w:eastAsia="Calibri" w:hAnsi="Calibri"/>
      <w:b/>
      <w:bCs/>
      <w:color w:val="4F81BD"/>
      <w:sz w:val="18"/>
      <w:szCs w:val="18"/>
      <w:bdr w:val="none" w:sz="0" w:space="0" w:color="auto"/>
      <w:lang w:val="en-AU"/>
    </w:rPr>
  </w:style>
  <w:style w:type="paragraph" w:styleId="Subtitle">
    <w:name w:val="Subtitle"/>
    <w:basedOn w:val="Normal"/>
    <w:next w:val="Normal"/>
    <w:link w:val="SubtitleChar"/>
    <w:uiPriority w:val="11"/>
    <w:qFormat/>
    <w:rsid w:val="00E7181D"/>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mbria" w:eastAsia="MS Gothic" w:hAnsi="Cambria"/>
      <w:i/>
      <w:iCs/>
      <w:color w:val="4F81BD"/>
      <w:spacing w:val="15"/>
      <w:bdr w:val="none" w:sz="0" w:space="0" w:color="auto"/>
      <w:lang w:val="en-AU"/>
    </w:rPr>
  </w:style>
  <w:style w:type="character" w:customStyle="1" w:styleId="SubtitleChar">
    <w:name w:val="Subtitle Char"/>
    <w:link w:val="Subtitle"/>
    <w:uiPriority w:val="11"/>
    <w:rsid w:val="00E7181D"/>
    <w:rPr>
      <w:rFonts w:ascii="Cambria" w:eastAsia="MS Gothic" w:hAnsi="Cambria"/>
      <w:i/>
      <w:iCs/>
      <w:color w:val="4F81BD"/>
      <w:spacing w:val="15"/>
      <w:sz w:val="24"/>
      <w:szCs w:val="24"/>
      <w:lang w:val="en-AU"/>
    </w:rPr>
  </w:style>
  <w:style w:type="paragraph" w:styleId="ListParagraph">
    <w:name w:val="List Paragraph"/>
    <w:basedOn w:val="Normal"/>
    <w:uiPriority w:val="34"/>
    <w:qFormat/>
    <w:rsid w:val="00E7181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customStyle="1" w:styleId="BodyA">
    <w:name w:val="Body A"/>
    <w:rsid w:val="00B91261"/>
    <w:pPr>
      <w:pBdr>
        <w:top w:val="nil"/>
        <w:left w:val="nil"/>
        <w:bottom w:val="nil"/>
        <w:right w:val="nil"/>
        <w:between w:val="nil"/>
        <w:bar w:val="nil"/>
      </w:pBdr>
      <w:spacing w:after="200" w:line="276" w:lineRule="auto"/>
    </w:pPr>
    <w:rPr>
      <w:rFonts w:ascii="Cambria" w:eastAsia="Cambria" w:hAnsi="Cambria" w:cs="Cambria"/>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Toshiba</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2015-02-05T18:11:00Z</dcterms:created>
  <dcterms:modified xsi:type="dcterms:W3CDTF">2015-02-05T18:11:00Z</dcterms:modified>
</cp:coreProperties>
</file>