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FF" w:rsidRPr="00B04C87" w:rsidRDefault="00D726DC" w:rsidP="00761FFF">
      <w:pPr>
        <w:spacing w:after="0" w:line="480" w:lineRule="auto"/>
        <w:rPr>
          <w:rFonts w:ascii="Times New Roman" w:hAnsi="Times New Roman" w:cs="Times New Roman"/>
          <w:b/>
          <w:sz w:val="24"/>
          <w:szCs w:val="24"/>
        </w:rPr>
      </w:pPr>
      <w:r>
        <w:rPr>
          <w:rFonts w:ascii="Times New Roman" w:hAnsi="Times New Roman" w:cs="Times New Roman"/>
          <w:b/>
          <w:sz w:val="24"/>
          <w:szCs w:val="24"/>
        </w:rPr>
        <w:t>Text</w:t>
      </w:r>
      <w:r w:rsidR="000F6F87">
        <w:rPr>
          <w:rFonts w:ascii="Times New Roman" w:hAnsi="Times New Roman" w:cs="Times New Roman"/>
          <w:b/>
          <w:sz w:val="24"/>
          <w:szCs w:val="24"/>
        </w:rPr>
        <w:t xml:space="preserve"> S1</w:t>
      </w:r>
    </w:p>
    <w:p w:rsidR="00761FFF" w:rsidRPr="002F213D" w:rsidRDefault="007E4893" w:rsidP="00761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Nearly all published estimates of isotope turnover or half-life used a</w:t>
      </w:r>
      <w:r w:rsidR="00761FFF">
        <w:rPr>
          <w:rFonts w:ascii="Times New Roman" w:hAnsi="Times New Roman" w:cs="Times New Roman"/>
          <w:sz w:val="24"/>
          <w:szCs w:val="24"/>
        </w:rPr>
        <w:t xml:space="preserve"> one</w:t>
      </w:r>
      <w:r>
        <w:rPr>
          <w:rFonts w:ascii="Times New Roman" w:hAnsi="Times New Roman" w:cs="Times New Roman"/>
          <w:sz w:val="24"/>
          <w:szCs w:val="24"/>
        </w:rPr>
        <w:t>-</w:t>
      </w:r>
      <w:r w:rsidR="00761FFF">
        <w:rPr>
          <w:rFonts w:ascii="Times New Roman" w:hAnsi="Times New Roman" w:cs="Times New Roman"/>
          <w:sz w:val="24"/>
          <w:szCs w:val="24"/>
        </w:rPr>
        <w:t>compartment modeling approach to estimate isotopic turnover and half-life in animal tissues. While there has been recent inte</w:t>
      </w:r>
      <w:r w:rsidR="00D042F4">
        <w:rPr>
          <w:rFonts w:ascii="Times New Roman" w:hAnsi="Times New Roman" w:cs="Times New Roman"/>
          <w:sz w:val="24"/>
          <w:szCs w:val="24"/>
        </w:rPr>
        <w:t xml:space="preserve">rest in two compartment models </w:t>
      </w:r>
      <w:r w:rsidR="00E44D18">
        <w:rPr>
          <w:rFonts w:ascii="Times New Roman" w:hAnsi="Times New Roman" w:cs="Times New Roman"/>
          <w:sz w:val="24"/>
          <w:szCs w:val="24"/>
        </w:rPr>
        <w:fldChar w:fldCharType="begin">
          <w:fldData xml:space="preserve">PEVuZE5vdGU+PENpdGU+PEF1dGhvcj5DYXJsZXRvbjwvQXV0aG9yPjxZZWFyPjIwMDg8L1llYXI+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</w:fldData>
        </w:fldChar>
      </w:r>
      <w:r w:rsidR="000F6F87">
        <w:rPr>
          <w:rFonts w:ascii="Times New Roman" w:hAnsi="Times New Roman" w:cs="Times New Roman"/>
          <w:sz w:val="24"/>
          <w:szCs w:val="24"/>
        </w:rPr>
        <w:instrText xml:space="preserve"> ADDIN EN.CITE </w:instrText>
      </w:r>
      <w:r w:rsidR="000F6F87">
        <w:rPr>
          <w:rFonts w:ascii="Times New Roman" w:hAnsi="Times New Roman" w:cs="Times New Roman"/>
          <w:sz w:val="24"/>
          <w:szCs w:val="24"/>
        </w:rPr>
        <w:fldChar w:fldCharType="begin">
          <w:fldData xml:space="preserve">PEVuZE5vdGU+PENpdGU+PEF1dGhvcj5DYXJsZXRvbjwvQXV0aG9yPjxZZWFyPjIwMDg8L1llYXI+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</w:fldData>
        </w:fldChar>
      </w:r>
      <w:r w:rsidR="000F6F87">
        <w:rPr>
          <w:rFonts w:ascii="Times New Roman" w:hAnsi="Times New Roman" w:cs="Times New Roman"/>
          <w:sz w:val="24"/>
          <w:szCs w:val="24"/>
        </w:rPr>
        <w:instrText xml:space="preserve"> ADDIN EN.CITE.DATA </w:instrText>
      </w:r>
      <w:r w:rsidR="000F6F87">
        <w:rPr>
          <w:rFonts w:ascii="Times New Roman" w:hAnsi="Times New Roman" w:cs="Times New Roman"/>
          <w:sz w:val="24"/>
          <w:szCs w:val="24"/>
        </w:rPr>
      </w:r>
      <w:r w:rsidR="000F6F87">
        <w:rPr>
          <w:rFonts w:ascii="Times New Roman" w:hAnsi="Times New Roman" w:cs="Times New Roman"/>
          <w:sz w:val="24"/>
          <w:szCs w:val="24"/>
        </w:rPr>
        <w:fldChar w:fldCharType="end"/>
      </w:r>
      <w:r w:rsidR="00E44D18">
        <w:rPr>
          <w:rFonts w:ascii="Times New Roman" w:hAnsi="Times New Roman" w:cs="Times New Roman"/>
          <w:sz w:val="24"/>
          <w:szCs w:val="24"/>
        </w:rPr>
      </w:r>
      <w:r w:rsidR="00E44D18">
        <w:rPr>
          <w:rFonts w:ascii="Times New Roman" w:hAnsi="Times New Roman" w:cs="Times New Roman"/>
          <w:sz w:val="24"/>
          <w:szCs w:val="24"/>
        </w:rPr>
        <w:fldChar w:fldCharType="separate"/>
      </w:r>
      <w:r w:rsidR="000F6F87">
        <w:rPr>
          <w:rFonts w:ascii="Times New Roman" w:hAnsi="Times New Roman" w:cs="Times New Roman"/>
          <w:noProof/>
          <w:sz w:val="24"/>
          <w:szCs w:val="24"/>
        </w:rPr>
        <w:t>[</w:t>
      </w:r>
      <w:hyperlink w:anchor="_ENREF_1" w:tooltip="Carleton, 2008 #6092" w:history="1">
        <w:r w:rsidR="000F6F87">
          <w:rPr>
            <w:rFonts w:ascii="Times New Roman" w:hAnsi="Times New Roman" w:cs="Times New Roman"/>
            <w:noProof/>
            <w:sz w:val="24"/>
            <w:szCs w:val="24"/>
          </w:rPr>
          <w:t>1</w:t>
        </w:r>
      </w:hyperlink>
      <w:r w:rsidR="000F6F87">
        <w:rPr>
          <w:rFonts w:ascii="Times New Roman" w:hAnsi="Times New Roman" w:cs="Times New Roman"/>
          <w:noProof/>
          <w:sz w:val="24"/>
          <w:szCs w:val="24"/>
        </w:rPr>
        <w:t>,</w:t>
      </w:r>
      <w:hyperlink w:anchor="_ENREF_2" w:tooltip="Cerling, 2007 #6088" w:history="1">
        <w:r w:rsidR="000F6F87">
          <w:rPr>
            <w:rFonts w:ascii="Times New Roman" w:hAnsi="Times New Roman" w:cs="Times New Roman"/>
            <w:noProof/>
            <w:sz w:val="24"/>
            <w:szCs w:val="24"/>
          </w:rPr>
          <w:t>2</w:t>
        </w:r>
      </w:hyperlink>
      <w:r w:rsidR="000F6F87">
        <w:rPr>
          <w:rFonts w:ascii="Times New Roman" w:hAnsi="Times New Roman" w:cs="Times New Roman"/>
          <w:noProof/>
          <w:sz w:val="24"/>
          <w:szCs w:val="24"/>
        </w:rPr>
        <w:t>]</w:t>
      </w:r>
      <w:r w:rsidR="00E44D18">
        <w:rPr>
          <w:rFonts w:ascii="Times New Roman" w:hAnsi="Times New Roman" w:cs="Times New Roman"/>
          <w:sz w:val="24"/>
          <w:szCs w:val="24"/>
        </w:rPr>
        <w:fldChar w:fldCharType="end"/>
      </w:r>
      <w:r w:rsidR="00761FFF">
        <w:rPr>
          <w:rFonts w:ascii="Times New Roman" w:hAnsi="Times New Roman" w:cs="Times New Roman"/>
          <w:sz w:val="24"/>
          <w:szCs w:val="24"/>
        </w:rPr>
        <w:t xml:space="preserve">, this more complex approach is not easily applicable to much of the literature data that are available. </w:t>
      </w:r>
      <w:r w:rsidR="00761FFF" w:rsidRPr="002F213D">
        <w:rPr>
          <w:rFonts w:ascii="Times New Roman" w:hAnsi="Times New Roman" w:cs="Times New Roman"/>
          <w:sz w:val="24"/>
          <w:szCs w:val="24"/>
        </w:rPr>
        <w:t xml:space="preserve">Isotopic turnover </w:t>
      </w:r>
      <w:r w:rsidR="00C7053C">
        <w:rPr>
          <w:rFonts w:ascii="Times New Roman" w:hAnsi="Times New Roman" w:cs="Times New Roman"/>
          <w:sz w:val="24"/>
          <w:szCs w:val="24"/>
        </w:rPr>
        <w:t>is typically</w:t>
      </w:r>
      <w:r w:rsidR="00761FFF" w:rsidRPr="002F213D">
        <w:rPr>
          <w:rFonts w:ascii="Times New Roman" w:hAnsi="Times New Roman" w:cs="Times New Roman"/>
          <w:sz w:val="24"/>
          <w:szCs w:val="24"/>
        </w:rPr>
        <w:t xml:space="preserve"> estimated by modeling tissue stable isotope ratios as a function of either time or body mass using one of three models</w:t>
      </w:r>
      <w:r w:rsidR="00761FFF">
        <w:rPr>
          <w:rFonts w:ascii="Times New Roman" w:hAnsi="Times New Roman" w:cs="Times New Roman"/>
          <w:sz w:val="24"/>
          <w:szCs w:val="24"/>
        </w:rPr>
        <w:t>, as described in</w:t>
      </w:r>
      <w:r w:rsidR="00761FFF" w:rsidRPr="002F213D">
        <w:rPr>
          <w:rFonts w:ascii="Times New Roman" w:hAnsi="Times New Roman" w:cs="Times New Roman"/>
          <w:sz w:val="24"/>
          <w:szCs w:val="24"/>
        </w:rPr>
        <w:t xml:space="preserve"> Hobson and Clark </w:t>
      </w:r>
      <w:r w:rsidR="00E44D18">
        <w:rPr>
          <w:rFonts w:ascii="Times New Roman" w:hAnsi="Times New Roman" w:cs="Times New Roman"/>
          <w:sz w:val="24"/>
          <w:szCs w:val="24"/>
        </w:rPr>
        <w:fldChar w:fldCharType="begin"/>
      </w:r>
      <w:r w:rsidR="000F6F87">
        <w:rPr>
          <w:rFonts w:ascii="Times New Roman" w:hAnsi="Times New Roman" w:cs="Times New Roman"/>
          <w:sz w:val="24"/>
          <w:szCs w:val="24"/>
        </w:rPr>
        <w:instrText xml:space="preserve"> ADDIN EN.CITE &lt;EndNote&gt;&lt;Cite ExcludeAuth="1"&gt;&lt;Year&gt;1992&lt;/Year&gt;&lt;RecNum&gt;1229&lt;/RecNum&gt;&lt;DisplayText&gt;[3]&lt;/DisplayText&gt;&lt;record&gt;&lt;rec-number&gt;1229&lt;/rec-number&gt;&lt;foreign-keys&gt;&lt;key app="EN" db-id="dttfx0p08vxf0xeefep5aes1tpep0zezdp0d"&gt;1229&lt;/key&gt;&lt;/foreign-keys&gt;&lt;ref-type name="Journal Article"&gt;17&lt;/ref-type&gt;&lt;contributors&gt;&lt;authors&gt;&lt;author&gt;Hobson, K.A.&lt;/author&gt;&lt;author&gt;Clark, R.G.&lt;/author&gt;&lt;/authors&gt;&lt;/contributors&gt;&lt;titles&gt;&lt;title&gt;Assessing avian diets using stable isotopes I: Turnover of 13C in tissues&lt;/title&gt;&lt;secondary-title&gt;Condor&lt;/secondary-title&gt;&lt;/titles&gt;&lt;periodical&gt;&lt;full-title&gt;Condor&lt;/full-title&gt;&lt;abbr-1&gt;Condor&lt;/abbr-1&gt;&lt;/periodical&gt;&lt;pages&gt;181-188&lt;/pages&gt;&lt;volume&gt;94&lt;/volume&gt;&lt;dates&gt;&lt;year&gt;1992&lt;/year&gt;&lt;/dates&gt;&lt;label&gt;yoysmb, jvzsia&lt;/label&gt;&lt;urls&gt;&lt;/urls&gt;&lt;/record&gt;&lt;/Cite&gt;&lt;/EndNote&gt;</w:instrText>
      </w:r>
      <w:r w:rsidR="00E44D18">
        <w:rPr>
          <w:rFonts w:ascii="Times New Roman" w:hAnsi="Times New Roman" w:cs="Times New Roman"/>
          <w:sz w:val="24"/>
          <w:szCs w:val="24"/>
        </w:rPr>
        <w:fldChar w:fldCharType="separate"/>
      </w:r>
      <w:r w:rsidR="000F6F87">
        <w:rPr>
          <w:rFonts w:ascii="Times New Roman" w:hAnsi="Times New Roman" w:cs="Times New Roman"/>
          <w:noProof/>
          <w:sz w:val="24"/>
          <w:szCs w:val="24"/>
        </w:rPr>
        <w:t>[</w:t>
      </w:r>
      <w:hyperlink w:anchor="_ENREF_3" w:tooltip="Hobson, 1992 #1229" w:history="1">
        <w:r w:rsidR="000F6F87">
          <w:rPr>
            <w:rFonts w:ascii="Times New Roman" w:hAnsi="Times New Roman" w:cs="Times New Roman"/>
            <w:noProof/>
            <w:sz w:val="24"/>
            <w:szCs w:val="24"/>
          </w:rPr>
          <w:t>3</w:t>
        </w:r>
      </w:hyperlink>
      <w:r w:rsidR="000F6F87">
        <w:rPr>
          <w:rFonts w:ascii="Times New Roman" w:hAnsi="Times New Roman" w:cs="Times New Roman"/>
          <w:noProof/>
          <w:sz w:val="24"/>
          <w:szCs w:val="24"/>
        </w:rPr>
        <w:t>]</w:t>
      </w:r>
      <w:r w:rsidR="00E44D18">
        <w:rPr>
          <w:rFonts w:ascii="Times New Roman" w:hAnsi="Times New Roman" w:cs="Times New Roman"/>
          <w:sz w:val="24"/>
          <w:szCs w:val="24"/>
        </w:rPr>
        <w:fldChar w:fldCharType="end"/>
      </w:r>
      <w:r w:rsidR="00761FFF" w:rsidRPr="002F213D">
        <w:rPr>
          <w:rFonts w:ascii="Times New Roman" w:hAnsi="Times New Roman" w:cs="Times New Roman"/>
          <w:sz w:val="24"/>
          <w:szCs w:val="24"/>
        </w:rPr>
        <w:t xml:space="preserve">, </w:t>
      </w:r>
      <w:proofErr w:type="spellStart"/>
      <w:r w:rsidR="00761FFF" w:rsidRPr="002F213D">
        <w:rPr>
          <w:rFonts w:ascii="Times New Roman" w:hAnsi="Times New Roman" w:cs="Times New Roman"/>
          <w:sz w:val="24"/>
          <w:szCs w:val="24"/>
        </w:rPr>
        <w:t>Hesslein</w:t>
      </w:r>
      <w:proofErr w:type="spellEnd"/>
      <w:r w:rsidR="00761FFF" w:rsidRPr="002F213D">
        <w:rPr>
          <w:rFonts w:ascii="Times New Roman" w:hAnsi="Times New Roman" w:cs="Times New Roman"/>
          <w:sz w:val="24"/>
          <w:szCs w:val="24"/>
        </w:rPr>
        <w:t xml:space="preserve"> et al. </w:t>
      </w:r>
      <w:r w:rsidR="00E44D18">
        <w:rPr>
          <w:rFonts w:ascii="Times New Roman" w:hAnsi="Times New Roman" w:cs="Times New Roman"/>
          <w:sz w:val="24"/>
          <w:szCs w:val="24"/>
        </w:rPr>
        <w:fldChar w:fldCharType="begin"/>
      </w:r>
      <w:r w:rsidR="000F6F87">
        <w:rPr>
          <w:rFonts w:ascii="Times New Roman" w:hAnsi="Times New Roman" w:cs="Times New Roman"/>
          <w:sz w:val="24"/>
          <w:szCs w:val="24"/>
        </w:rPr>
        <w:instrText xml:space="preserve"> ADDIN EN.CITE &lt;EndNote&gt;&lt;Cite ExcludeAuth="1"&gt;&lt;Year&gt;1993&lt;/Year&gt;&lt;RecNum&gt;1059&lt;/RecNum&gt;&lt;DisplayText&gt;[4]&lt;/DisplayText&gt;&lt;record&gt;&lt;rec-number&gt;1059&lt;/rec-number&gt;&lt;foreign-keys&gt;&lt;key app="EN" db-id="dttfx0p08vxf0xeefep5aes1tpep0zezdp0d"&gt;1059&lt;/key&gt;&lt;/foreign-keys&gt;&lt;ref-type name="Journal Article"&gt;17&lt;/ref-type&gt;&lt;contributors&gt;&lt;authors&gt;&lt;author&gt;Hesslein, R. H. &lt;/author&gt;&lt;author&gt;Hallard, K. A.&lt;/author&gt;&lt;author&gt;Ramlal, P.&lt;/author&gt;&lt;/authors&gt;&lt;/contributors&gt;&lt;titles&gt;&lt;title&gt;&lt;style face="normal" font="default" size="100%"&gt;Replacement of sulfur, carbon, and nitrogen in tissue of growing broad whitefish (&lt;/style&gt;&lt;style face="italic" font="default" size="100%"&gt;Coregonus nasus&lt;/style&gt;&lt;style face="normal" font="default" size="100%"&gt;) in response to a change in diet traced by 34S, 13C, and 15N&lt;/style&gt;&lt;/title&gt;&lt;secondary-title&gt;Canadian Journal of Fisheries and Aquatic Sciences&lt;/secondary-title&gt;&lt;/titles&gt;&lt;periodical&gt;&lt;full-title&gt;Canadian Journal of Fisheries and Aquatic Sciences&lt;/full-title&gt;&lt;/periodical&gt;&lt;pages&gt;2071-2076&lt;/pages&gt;&lt;volume&gt;50&lt;/volume&gt;&lt;dates&gt;&lt;year&gt;1993&lt;/year&gt;&lt;/dates&gt;&lt;label&gt;new prmpp ffff ffrac, jvzsia&lt;/label&gt;&lt;urls&gt;&lt;/urls&gt;&lt;/record&gt;&lt;/Cite&gt;&lt;/EndNote&gt;</w:instrText>
      </w:r>
      <w:r w:rsidR="00E44D18">
        <w:rPr>
          <w:rFonts w:ascii="Times New Roman" w:hAnsi="Times New Roman" w:cs="Times New Roman"/>
          <w:sz w:val="24"/>
          <w:szCs w:val="24"/>
        </w:rPr>
        <w:fldChar w:fldCharType="separate"/>
      </w:r>
      <w:r w:rsidR="000F6F87">
        <w:rPr>
          <w:rFonts w:ascii="Times New Roman" w:hAnsi="Times New Roman" w:cs="Times New Roman"/>
          <w:noProof/>
          <w:sz w:val="24"/>
          <w:szCs w:val="24"/>
        </w:rPr>
        <w:t>[</w:t>
      </w:r>
      <w:hyperlink w:anchor="_ENREF_4" w:tooltip="Hesslein, 1993 #1059" w:history="1">
        <w:r w:rsidR="000F6F87">
          <w:rPr>
            <w:rFonts w:ascii="Times New Roman" w:hAnsi="Times New Roman" w:cs="Times New Roman"/>
            <w:noProof/>
            <w:sz w:val="24"/>
            <w:szCs w:val="24"/>
          </w:rPr>
          <w:t>4</w:t>
        </w:r>
      </w:hyperlink>
      <w:r w:rsidR="000F6F87">
        <w:rPr>
          <w:rFonts w:ascii="Times New Roman" w:hAnsi="Times New Roman" w:cs="Times New Roman"/>
          <w:noProof/>
          <w:sz w:val="24"/>
          <w:szCs w:val="24"/>
        </w:rPr>
        <w:t>]</w:t>
      </w:r>
      <w:r w:rsidR="00E44D18">
        <w:rPr>
          <w:rFonts w:ascii="Times New Roman" w:hAnsi="Times New Roman" w:cs="Times New Roman"/>
          <w:sz w:val="24"/>
          <w:szCs w:val="24"/>
        </w:rPr>
        <w:fldChar w:fldCharType="end"/>
      </w:r>
      <w:r w:rsidR="00761FFF" w:rsidRPr="002F213D">
        <w:rPr>
          <w:rFonts w:ascii="Times New Roman" w:hAnsi="Times New Roman" w:cs="Times New Roman"/>
          <w:sz w:val="24"/>
          <w:szCs w:val="24"/>
        </w:rPr>
        <w:t xml:space="preserve">, and Fry and Arnold </w:t>
      </w:r>
      <w:r w:rsidR="00E44D18">
        <w:rPr>
          <w:rFonts w:ascii="Times New Roman" w:hAnsi="Times New Roman" w:cs="Times New Roman"/>
          <w:sz w:val="24"/>
          <w:szCs w:val="24"/>
        </w:rPr>
        <w:fldChar w:fldCharType="begin"/>
      </w:r>
      <w:r w:rsidR="000F6F87">
        <w:rPr>
          <w:rFonts w:ascii="Times New Roman" w:hAnsi="Times New Roman" w:cs="Times New Roman"/>
          <w:sz w:val="24"/>
          <w:szCs w:val="24"/>
        </w:rPr>
        <w:instrText xml:space="preserve"> ADDIN EN.CITE &lt;EndNote&gt;&lt;Cite ExcludeAuth="1"&gt;&lt;Year&gt;1982&lt;/Year&gt;&lt;RecNum&gt;1230&lt;/RecNum&gt;&lt;DisplayText&gt;[5]&lt;/DisplayText&gt;&lt;record&gt;&lt;rec-number&gt;1230&lt;/rec-number&gt;&lt;foreign-keys&gt;&lt;key app="EN" db-id="dttfx0p08vxf0xeefep5aes1tpep0zezdp0d"&gt;1230&lt;/key&gt;&lt;/foreign-keys&gt;&lt;ref-type name="Journal Article"&gt;17&lt;/ref-type&gt;&lt;contributors&gt;&lt;authors&gt;&lt;author&gt;Fry, B.&lt;/author&gt;&lt;author&gt;Arnold, C.&lt;/author&gt;&lt;/authors&gt;&lt;/contributors&gt;&lt;titles&gt;&lt;title&gt;&lt;style face="normal" font="default" size="100%"&gt;Rapid 13C/12C turnover during growth of brown shrimp (&lt;/style&gt;&lt;style face="italic" font="default" size="100%"&gt;Penaeus aztecus&lt;/style&gt;&lt;style face="normal" font="default" size="100%"&gt;)&lt;/style&gt;&lt;/title&gt;&lt;secondary-title&gt;Oecologia&lt;/secondary-title&gt;&lt;/titles&gt;&lt;periodical&gt;&lt;full-title&gt;Oecologia&lt;/full-title&gt;&lt;abbr-1&gt;Oecologia&lt;/abbr-1&gt;&lt;/periodical&gt;&lt;pages&gt;200-204&lt;/pages&gt;&lt;volume&gt;54&lt;/volume&gt;&lt;dates&gt;&lt;year&gt;1982&lt;/year&gt;&lt;/dates&gt;&lt;label&gt;yoysmb ffrac, jvzsia&lt;/label&gt;&lt;urls&gt;&lt;/urls&gt;&lt;/record&gt;&lt;/Cite&gt;&lt;/EndNote&gt;</w:instrText>
      </w:r>
      <w:r w:rsidR="00E44D18">
        <w:rPr>
          <w:rFonts w:ascii="Times New Roman" w:hAnsi="Times New Roman" w:cs="Times New Roman"/>
          <w:sz w:val="24"/>
          <w:szCs w:val="24"/>
        </w:rPr>
        <w:fldChar w:fldCharType="separate"/>
      </w:r>
      <w:r w:rsidR="000F6F87">
        <w:rPr>
          <w:rFonts w:ascii="Times New Roman" w:hAnsi="Times New Roman" w:cs="Times New Roman"/>
          <w:noProof/>
          <w:sz w:val="24"/>
          <w:szCs w:val="24"/>
        </w:rPr>
        <w:t>[</w:t>
      </w:r>
      <w:hyperlink w:anchor="_ENREF_5" w:tooltip="Fry, 1982 #1230" w:history="1">
        <w:r w:rsidR="000F6F87">
          <w:rPr>
            <w:rFonts w:ascii="Times New Roman" w:hAnsi="Times New Roman" w:cs="Times New Roman"/>
            <w:noProof/>
            <w:sz w:val="24"/>
            <w:szCs w:val="24"/>
          </w:rPr>
          <w:t>5</w:t>
        </w:r>
      </w:hyperlink>
      <w:r w:rsidR="000F6F87">
        <w:rPr>
          <w:rFonts w:ascii="Times New Roman" w:hAnsi="Times New Roman" w:cs="Times New Roman"/>
          <w:noProof/>
          <w:sz w:val="24"/>
          <w:szCs w:val="24"/>
        </w:rPr>
        <w:t>]</w:t>
      </w:r>
      <w:r w:rsidR="00E44D18">
        <w:rPr>
          <w:rFonts w:ascii="Times New Roman" w:hAnsi="Times New Roman" w:cs="Times New Roman"/>
          <w:sz w:val="24"/>
          <w:szCs w:val="24"/>
        </w:rPr>
        <w:fldChar w:fldCharType="end"/>
      </w:r>
      <w:r w:rsidR="00761FFF" w:rsidRPr="002F213D">
        <w:rPr>
          <w:rFonts w:ascii="Times New Roman" w:hAnsi="Times New Roman" w:cs="Times New Roman"/>
          <w:sz w:val="24"/>
          <w:szCs w:val="24"/>
        </w:rPr>
        <w:t xml:space="preserve">. </w:t>
      </w:r>
      <w:r w:rsidR="00761FFF">
        <w:rPr>
          <w:rFonts w:ascii="Times New Roman" w:hAnsi="Times New Roman" w:cs="Times New Roman"/>
          <w:sz w:val="24"/>
          <w:szCs w:val="24"/>
        </w:rPr>
        <w:t xml:space="preserve">Here we briefly review each of the three model structures used for estimating half-life.  </w:t>
      </w:r>
      <w:r w:rsidR="00761FFF" w:rsidRPr="002F213D">
        <w:rPr>
          <w:rFonts w:ascii="Times New Roman" w:hAnsi="Times New Roman" w:cs="Times New Roman"/>
          <w:sz w:val="24"/>
          <w:szCs w:val="24"/>
        </w:rPr>
        <w:t xml:space="preserve">In all three models, newly accreted tissue following the diet shift and catabolic tissue turnover of existing body </w:t>
      </w:r>
      <w:r w:rsidR="00761FFF">
        <w:rPr>
          <w:rFonts w:ascii="Times New Roman" w:hAnsi="Times New Roman" w:cs="Times New Roman"/>
          <w:sz w:val="24"/>
          <w:szCs w:val="24"/>
        </w:rPr>
        <w:t>tissues</w:t>
      </w:r>
      <w:r w:rsidR="00761FFF" w:rsidRPr="002F213D">
        <w:rPr>
          <w:rFonts w:ascii="Times New Roman" w:hAnsi="Times New Roman" w:cs="Times New Roman"/>
          <w:sz w:val="24"/>
          <w:szCs w:val="24"/>
        </w:rPr>
        <w:t xml:space="preserve"> (independent of somatic growth) shift the animal towards equilibrium with the new diet. These three models differ only in how isotopic change is expressed, and whether isotopic change is explicitly partitioned into growth and metabolic turnover components.  </w:t>
      </w:r>
    </w:p>
    <w:p w:rsidR="00761FFF" w:rsidRPr="002F213D" w:rsidRDefault="00761FFF" w:rsidP="00761FFF">
      <w:pPr>
        <w:spacing w:after="0" w:line="480" w:lineRule="auto"/>
        <w:ind w:firstLine="720"/>
        <w:rPr>
          <w:rFonts w:ascii="Times New Roman" w:hAnsi="Times New Roman" w:cs="Times New Roman"/>
          <w:sz w:val="24"/>
          <w:szCs w:val="24"/>
        </w:rPr>
      </w:pPr>
      <w:r w:rsidRPr="002F213D">
        <w:rPr>
          <w:rFonts w:ascii="Times New Roman" w:hAnsi="Times New Roman" w:cs="Times New Roman"/>
          <w:sz w:val="24"/>
          <w:szCs w:val="24"/>
        </w:rPr>
        <w:t xml:space="preserve">The Hobson and Clark model expresses isotopic turnover as </w:t>
      </w:r>
      <w:r>
        <w:rPr>
          <w:rFonts w:ascii="Times New Roman" w:hAnsi="Times New Roman" w:cs="Times New Roman"/>
          <w:sz w:val="24"/>
          <w:szCs w:val="24"/>
        </w:rPr>
        <w:t xml:space="preserve">an exponential </w:t>
      </w:r>
      <w:r w:rsidRPr="002F213D">
        <w:rPr>
          <w:rFonts w:ascii="Times New Roman" w:hAnsi="Times New Roman" w:cs="Times New Roman"/>
          <w:sz w:val="24"/>
          <w:szCs w:val="24"/>
        </w:rPr>
        <w:t>function of time, such that the turnover parameter (λ</w:t>
      </w:r>
      <w:r>
        <w:rPr>
          <w:rFonts w:ascii="Times New Roman" w:hAnsi="Times New Roman" w:cs="Times New Roman"/>
          <w:sz w:val="24"/>
          <w:szCs w:val="24"/>
        </w:rPr>
        <w:t>; see parameter descriptions in Table 1</w:t>
      </w:r>
      <w:r w:rsidRPr="002F213D">
        <w:rPr>
          <w:rFonts w:ascii="Times New Roman" w:hAnsi="Times New Roman" w:cs="Times New Roman"/>
          <w:sz w:val="24"/>
          <w:szCs w:val="24"/>
        </w:rPr>
        <w:t xml:space="preserve">) combines the growth and metabolic tissue turnover: </w:t>
      </w:r>
    </w:p>
    <w:p w:rsidR="00D042F4" w:rsidRDefault="00D042F4" w:rsidP="00D042F4">
      <w:pPr>
        <w:autoSpaceDE w:val="0"/>
        <w:autoSpaceDN w:val="0"/>
        <w:adjustRightInd w:val="0"/>
        <w:spacing w:after="0" w:line="480" w:lineRule="auto"/>
        <w:ind w:firstLine="720"/>
        <w:rPr>
          <w:rFonts w:ascii="Times New Roman" w:hAnsi="Times New Roman" w:cs="Times New Roman"/>
          <w:sz w:val="24"/>
          <w:szCs w:val="24"/>
          <w:lang w:val="fr-CA"/>
        </w:rPr>
      </w:pPr>
    </w:p>
    <w:p w:rsidR="00761FFF" w:rsidRPr="006355BE" w:rsidRDefault="00761FFF" w:rsidP="00D042F4">
      <w:pPr>
        <w:autoSpaceDE w:val="0"/>
        <w:autoSpaceDN w:val="0"/>
        <w:adjustRightInd w:val="0"/>
        <w:spacing w:after="0" w:line="480" w:lineRule="auto"/>
        <w:ind w:firstLine="720"/>
        <w:rPr>
          <w:rFonts w:ascii="Times New Roman" w:hAnsi="Times New Roman" w:cs="Times New Roman"/>
          <w:sz w:val="24"/>
          <w:szCs w:val="24"/>
          <w:vertAlign w:val="superscript"/>
          <w:lang w:val="fr-CA"/>
        </w:rPr>
      </w:pPr>
      <w:r w:rsidRPr="006355BE">
        <w:rPr>
          <w:rFonts w:ascii="Times New Roman" w:hAnsi="Times New Roman" w:cs="Times New Roman"/>
          <w:sz w:val="24"/>
          <w:szCs w:val="24"/>
          <w:lang w:val="fr-CA"/>
        </w:rPr>
        <w:t xml:space="preserve">[1] </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 xml:space="preserve">t </w:t>
      </w:r>
      <w:r w:rsidRPr="006355BE">
        <w:rPr>
          <w:rFonts w:ascii="Times New Roman" w:hAnsi="Times New Roman" w:cs="Times New Roman"/>
          <w:sz w:val="24"/>
          <w:szCs w:val="24"/>
          <w:lang w:val="fr-CA"/>
        </w:rPr>
        <w:t xml:space="preserve">= </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n</w:t>
      </w:r>
      <w:r w:rsidRPr="006355BE">
        <w:rPr>
          <w:rFonts w:ascii="Times New Roman" w:hAnsi="Times New Roman" w:cs="Times New Roman"/>
          <w:sz w:val="24"/>
          <w:szCs w:val="24"/>
          <w:lang w:val="fr-CA"/>
        </w:rPr>
        <w:t xml:space="preserve"> + (</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o</w:t>
      </w:r>
      <w:r w:rsidRPr="006355BE">
        <w:rPr>
          <w:rFonts w:ascii="Times New Roman" w:hAnsi="Times New Roman" w:cs="Times New Roman"/>
          <w:sz w:val="24"/>
          <w:szCs w:val="24"/>
          <w:lang w:val="fr-CA"/>
        </w:rPr>
        <w:t>-</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n</w:t>
      </w:r>
      <w:proofErr w:type="gramStart"/>
      <w:r w:rsidRPr="006355BE">
        <w:rPr>
          <w:rFonts w:ascii="Times New Roman" w:hAnsi="Times New Roman" w:cs="Times New Roman"/>
          <w:sz w:val="24"/>
          <w:szCs w:val="24"/>
          <w:lang w:val="fr-CA"/>
        </w:rPr>
        <w:t>)e</w:t>
      </w:r>
      <w:proofErr w:type="gramEnd"/>
      <w:r w:rsidRPr="006355BE">
        <w:rPr>
          <w:rFonts w:ascii="Times New Roman" w:hAnsi="Times New Roman" w:cs="Times New Roman"/>
          <w:sz w:val="24"/>
          <w:szCs w:val="24"/>
          <w:vertAlign w:val="superscript"/>
          <w:lang w:val="fr-CA"/>
        </w:rPr>
        <w:t>-(</w:t>
      </w:r>
      <w:r w:rsidRPr="002F213D">
        <w:rPr>
          <w:rFonts w:ascii="Times New Roman" w:hAnsi="Times New Roman" w:cs="Times New Roman"/>
          <w:sz w:val="24"/>
          <w:szCs w:val="24"/>
          <w:vertAlign w:val="superscript"/>
        </w:rPr>
        <w:t>λ</w:t>
      </w:r>
      <w:r w:rsidRPr="006355BE">
        <w:rPr>
          <w:rFonts w:ascii="Times New Roman" w:hAnsi="Times New Roman" w:cs="Times New Roman"/>
          <w:sz w:val="24"/>
          <w:szCs w:val="24"/>
          <w:vertAlign w:val="superscript"/>
          <w:lang w:val="fr-CA"/>
        </w:rPr>
        <w:t>)t</w:t>
      </w:r>
    </w:p>
    <w:p w:rsidR="00761FFF" w:rsidRPr="006355BE" w:rsidRDefault="00761FFF" w:rsidP="00761FFF">
      <w:pPr>
        <w:autoSpaceDE w:val="0"/>
        <w:autoSpaceDN w:val="0"/>
        <w:adjustRightInd w:val="0"/>
        <w:spacing w:after="0" w:line="480" w:lineRule="auto"/>
        <w:rPr>
          <w:rFonts w:ascii="Times New Roman" w:hAnsi="Times New Roman" w:cs="Times New Roman"/>
          <w:sz w:val="24"/>
          <w:szCs w:val="24"/>
          <w:vertAlign w:val="superscript"/>
          <w:lang w:val="fr-CA"/>
        </w:rPr>
      </w:pPr>
    </w:p>
    <w:p w:rsidR="00761FFF" w:rsidRPr="002F213D" w:rsidRDefault="00761FFF" w:rsidP="00761FFF">
      <w:pPr>
        <w:spacing w:after="0" w:line="480" w:lineRule="auto"/>
        <w:rPr>
          <w:rFonts w:ascii="Times New Roman" w:hAnsi="Times New Roman" w:cs="Times New Roman"/>
          <w:sz w:val="24"/>
          <w:szCs w:val="24"/>
        </w:rPr>
      </w:pPr>
      <w:r w:rsidRPr="002F213D">
        <w:rPr>
          <w:rFonts w:ascii="Times New Roman" w:hAnsi="Times New Roman" w:cs="Times New Roman"/>
          <w:sz w:val="24"/>
          <w:szCs w:val="24"/>
        </w:rPr>
        <w:t xml:space="preserve">The model used by </w:t>
      </w:r>
      <w:proofErr w:type="spellStart"/>
      <w:r w:rsidRPr="002F213D">
        <w:rPr>
          <w:rFonts w:ascii="Times New Roman" w:hAnsi="Times New Roman" w:cs="Times New Roman"/>
          <w:sz w:val="24"/>
          <w:szCs w:val="24"/>
        </w:rPr>
        <w:t>Hesslein</w:t>
      </w:r>
      <w:proofErr w:type="spellEnd"/>
      <w:r w:rsidRPr="002F213D">
        <w:rPr>
          <w:rFonts w:ascii="Times New Roman" w:hAnsi="Times New Roman" w:cs="Times New Roman"/>
          <w:sz w:val="24"/>
          <w:szCs w:val="24"/>
        </w:rPr>
        <w:t xml:space="preserve"> et al. </w:t>
      </w:r>
      <w:r w:rsidR="00E44D18">
        <w:rPr>
          <w:rFonts w:ascii="Times New Roman" w:hAnsi="Times New Roman" w:cs="Times New Roman"/>
          <w:sz w:val="24"/>
          <w:szCs w:val="24"/>
        </w:rPr>
        <w:fldChar w:fldCharType="begin"/>
      </w:r>
      <w:r w:rsidR="000F6F87">
        <w:rPr>
          <w:rFonts w:ascii="Times New Roman" w:hAnsi="Times New Roman" w:cs="Times New Roman"/>
          <w:sz w:val="24"/>
          <w:szCs w:val="24"/>
        </w:rPr>
        <w:instrText xml:space="preserve"> ADDIN EN.CITE &lt;EndNote&gt;&lt;Cite ExcludeAuth="1"&gt;&lt;Year&gt;1993&lt;/Year&gt;&lt;RecNum&gt;1059&lt;/RecNum&gt;&lt;DisplayText&gt;[4]&lt;/DisplayText&gt;&lt;record&gt;&lt;rec-number&gt;1059&lt;/rec-number&gt;&lt;foreign-keys&gt;&lt;key app="EN" db-id="dttfx0p08vxf0xeefep5aes1tpep0zezdp0d"&gt;1059&lt;/key&gt;&lt;/foreign-keys&gt;&lt;ref-type name="Journal Article"&gt;17&lt;/ref-type&gt;&lt;contributors&gt;&lt;authors&gt;&lt;author&gt;Hesslein, R. H. &lt;/author&gt;&lt;author&gt;Hallard, K. A.&lt;/author&gt;&lt;author&gt;Ramlal, P.&lt;/author&gt;&lt;/authors&gt;&lt;/contributors&gt;&lt;titles&gt;&lt;title&gt;&lt;style face="normal" font="default" size="100%"&gt;Replacement of sulfur, carbon, and nitrogen in tissue of growing broad whitefish (&lt;/style&gt;&lt;style face="italic" font="default" size="100%"&gt;Coregonus nasus&lt;/style&gt;&lt;style face="normal" font="default" size="100%"&gt;) in response to a change in diet traced by 34S, 13C, and 15N&lt;/style&gt;&lt;/title&gt;&lt;secondary-title&gt;Canadian Journal of Fisheries and Aquatic Sciences&lt;/secondary-title&gt;&lt;/titles&gt;&lt;periodical&gt;&lt;full-title&gt;Canadian Journal of Fisheries and Aquatic Sciences&lt;/full-title&gt;&lt;/periodical&gt;&lt;pages&gt;2071-2076&lt;/pages&gt;&lt;volume&gt;50&lt;/volume&gt;&lt;dates&gt;&lt;year&gt;1993&lt;/year&gt;&lt;/dates&gt;&lt;label&gt;new prmpp ffff ffrac, jvzsia&lt;/label&gt;&lt;urls&gt;&lt;/urls&gt;&lt;/record&gt;&lt;/Cite&gt;&lt;/EndNote&gt;</w:instrText>
      </w:r>
      <w:r w:rsidR="00E44D18">
        <w:rPr>
          <w:rFonts w:ascii="Times New Roman" w:hAnsi="Times New Roman" w:cs="Times New Roman"/>
          <w:sz w:val="24"/>
          <w:szCs w:val="24"/>
        </w:rPr>
        <w:fldChar w:fldCharType="separate"/>
      </w:r>
      <w:r w:rsidR="000F6F87">
        <w:rPr>
          <w:rFonts w:ascii="Times New Roman" w:hAnsi="Times New Roman" w:cs="Times New Roman"/>
          <w:noProof/>
          <w:sz w:val="24"/>
          <w:szCs w:val="24"/>
        </w:rPr>
        <w:t>[</w:t>
      </w:r>
      <w:hyperlink w:anchor="_ENREF_4" w:tooltip="Hesslein, 1993 #1059" w:history="1">
        <w:r w:rsidR="000F6F87">
          <w:rPr>
            <w:rFonts w:ascii="Times New Roman" w:hAnsi="Times New Roman" w:cs="Times New Roman"/>
            <w:noProof/>
            <w:sz w:val="24"/>
            <w:szCs w:val="24"/>
          </w:rPr>
          <w:t>4</w:t>
        </w:r>
      </w:hyperlink>
      <w:r w:rsidR="000F6F87">
        <w:rPr>
          <w:rFonts w:ascii="Times New Roman" w:hAnsi="Times New Roman" w:cs="Times New Roman"/>
          <w:noProof/>
          <w:sz w:val="24"/>
          <w:szCs w:val="24"/>
        </w:rPr>
        <w:t>]</w:t>
      </w:r>
      <w:r w:rsidR="00E44D18">
        <w:rPr>
          <w:rFonts w:ascii="Times New Roman" w:hAnsi="Times New Roman" w:cs="Times New Roman"/>
          <w:sz w:val="24"/>
          <w:szCs w:val="24"/>
        </w:rPr>
        <w:fldChar w:fldCharType="end"/>
      </w:r>
      <w:r w:rsidRPr="002F213D">
        <w:rPr>
          <w:rFonts w:ascii="Times New Roman" w:hAnsi="Times New Roman" w:cs="Times New Roman"/>
          <w:sz w:val="24"/>
          <w:szCs w:val="24"/>
        </w:rPr>
        <w:t xml:space="preserve"> is similar, except λ is partitioned into growth (</w:t>
      </w:r>
      <w:r w:rsidRPr="002F213D">
        <w:rPr>
          <w:rFonts w:ascii="Times New Roman" w:hAnsi="Times New Roman" w:cs="Times New Roman"/>
          <w:i/>
          <w:sz w:val="24"/>
          <w:szCs w:val="24"/>
        </w:rPr>
        <w:t>k</w:t>
      </w:r>
      <w:r w:rsidRPr="002F213D">
        <w:rPr>
          <w:rFonts w:ascii="Times New Roman" w:hAnsi="Times New Roman" w:cs="Times New Roman"/>
          <w:sz w:val="24"/>
          <w:szCs w:val="24"/>
        </w:rPr>
        <w:t>) and metabolic tissue turnover (</w:t>
      </w:r>
      <w:r w:rsidRPr="002F213D">
        <w:rPr>
          <w:rFonts w:ascii="Times New Roman" w:hAnsi="Times New Roman" w:cs="Times New Roman"/>
          <w:i/>
          <w:sz w:val="24"/>
          <w:szCs w:val="24"/>
        </w:rPr>
        <w:t>m</w:t>
      </w:r>
      <w:r w:rsidRPr="002F213D">
        <w:rPr>
          <w:rFonts w:ascii="Times New Roman" w:hAnsi="Times New Roman" w:cs="Times New Roman"/>
          <w:sz w:val="24"/>
          <w:szCs w:val="24"/>
        </w:rPr>
        <w:t>). Provided the growth rate (</w:t>
      </w:r>
      <w:r w:rsidRPr="002F213D">
        <w:rPr>
          <w:rFonts w:ascii="Times New Roman" w:hAnsi="Times New Roman" w:cs="Times New Roman"/>
          <w:i/>
          <w:sz w:val="24"/>
          <w:szCs w:val="24"/>
        </w:rPr>
        <w:t>k</w:t>
      </w:r>
      <w:r w:rsidRPr="002F213D">
        <w:rPr>
          <w:rFonts w:ascii="Times New Roman" w:hAnsi="Times New Roman" w:cs="Times New Roman"/>
          <w:sz w:val="24"/>
          <w:szCs w:val="24"/>
        </w:rPr>
        <w:t xml:space="preserve">) is known, the parameter </w:t>
      </w:r>
      <w:r w:rsidRPr="002F213D">
        <w:rPr>
          <w:rFonts w:ascii="Times New Roman" w:hAnsi="Times New Roman" w:cs="Times New Roman"/>
          <w:i/>
          <w:sz w:val="24"/>
          <w:szCs w:val="24"/>
        </w:rPr>
        <w:t>m</w:t>
      </w:r>
      <w:r w:rsidRPr="002F213D">
        <w:rPr>
          <w:rFonts w:ascii="Times New Roman" w:hAnsi="Times New Roman" w:cs="Times New Roman"/>
          <w:sz w:val="24"/>
          <w:szCs w:val="24"/>
        </w:rPr>
        <w:t xml:space="preserve"> can be fit using least squares:</w:t>
      </w:r>
    </w:p>
    <w:p w:rsidR="00D042F4" w:rsidRDefault="00D042F4" w:rsidP="00D042F4">
      <w:pPr>
        <w:spacing w:after="0" w:line="480" w:lineRule="auto"/>
        <w:ind w:firstLine="720"/>
        <w:rPr>
          <w:rFonts w:ascii="Times New Roman" w:hAnsi="Times New Roman" w:cs="Times New Roman"/>
          <w:sz w:val="24"/>
          <w:szCs w:val="24"/>
          <w:lang w:val="fr-CA"/>
        </w:rPr>
      </w:pPr>
    </w:p>
    <w:p w:rsidR="00761FFF" w:rsidRPr="006355BE" w:rsidRDefault="00761FFF" w:rsidP="00D042F4">
      <w:pPr>
        <w:spacing w:after="0" w:line="480" w:lineRule="auto"/>
        <w:ind w:firstLine="720"/>
        <w:rPr>
          <w:rFonts w:ascii="Times New Roman" w:hAnsi="Times New Roman" w:cs="Times New Roman"/>
          <w:sz w:val="24"/>
          <w:szCs w:val="24"/>
          <w:lang w:val="fr-CA"/>
        </w:rPr>
      </w:pPr>
      <w:r w:rsidRPr="006355BE">
        <w:rPr>
          <w:rFonts w:ascii="Times New Roman" w:hAnsi="Times New Roman" w:cs="Times New Roman"/>
          <w:sz w:val="24"/>
          <w:szCs w:val="24"/>
          <w:lang w:val="fr-CA"/>
        </w:rPr>
        <w:lastRenderedPageBreak/>
        <w:t xml:space="preserve">[2] </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 xml:space="preserve">t </w:t>
      </w:r>
      <w:r w:rsidRPr="006355BE">
        <w:rPr>
          <w:rFonts w:ascii="Times New Roman" w:hAnsi="Times New Roman" w:cs="Times New Roman"/>
          <w:sz w:val="24"/>
          <w:szCs w:val="24"/>
          <w:lang w:val="fr-CA"/>
        </w:rPr>
        <w:t xml:space="preserve">= </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n</w:t>
      </w:r>
      <w:r w:rsidRPr="006355BE">
        <w:rPr>
          <w:rFonts w:ascii="Times New Roman" w:hAnsi="Times New Roman" w:cs="Times New Roman"/>
          <w:sz w:val="24"/>
          <w:szCs w:val="24"/>
          <w:lang w:val="fr-CA"/>
        </w:rPr>
        <w:t xml:space="preserve"> + (</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o</w:t>
      </w:r>
      <w:r w:rsidRPr="006355BE">
        <w:rPr>
          <w:rFonts w:ascii="Times New Roman" w:hAnsi="Times New Roman" w:cs="Times New Roman"/>
          <w:sz w:val="24"/>
          <w:szCs w:val="24"/>
          <w:lang w:val="fr-CA"/>
        </w:rPr>
        <w:t>-</w:t>
      </w:r>
      <w:r w:rsidRPr="002F213D">
        <w:rPr>
          <w:rFonts w:ascii="Times New Roman" w:hAnsi="Times New Roman" w:cs="Times New Roman"/>
          <w:sz w:val="24"/>
          <w:szCs w:val="24"/>
        </w:rPr>
        <w:t>δ</w:t>
      </w:r>
      <w:r w:rsidRPr="006355BE">
        <w:rPr>
          <w:rFonts w:ascii="Times New Roman" w:hAnsi="Times New Roman" w:cs="Times New Roman"/>
          <w:sz w:val="24"/>
          <w:szCs w:val="24"/>
          <w:vertAlign w:val="subscript"/>
          <w:lang w:val="fr-CA"/>
        </w:rPr>
        <w:t>n</w:t>
      </w:r>
      <w:proofErr w:type="gramStart"/>
      <w:r w:rsidRPr="006355BE">
        <w:rPr>
          <w:rFonts w:ascii="Times New Roman" w:hAnsi="Times New Roman" w:cs="Times New Roman"/>
          <w:sz w:val="24"/>
          <w:szCs w:val="24"/>
          <w:lang w:val="fr-CA"/>
        </w:rPr>
        <w:t>)e</w:t>
      </w:r>
      <w:proofErr w:type="gramEnd"/>
      <w:r w:rsidRPr="006355BE">
        <w:rPr>
          <w:rFonts w:ascii="Times New Roman" w:hAnsi="Times New Roman" w:cs="Times New Roman"/>
          <w:sz w:val="24"/>
          <w:szCs w:val="24"/>
          <w:vertAlign w:val="superscript"/>
          <w:lang w:val="fr-CA"/>
        </w:rPr>
        <w:t>-(k+m)t</w:t>
      </w:r>
    </w:p>
    <w:p w:rsidR="00D042F4" w:rsidRDefault="00D042F4" w:rsidP="00761FFF">
      <w:pPr>
        <w:spacing w:after="0" w:line="480" w:lineRule="auto"/>
        <w:rPr>
          <w:rFonts w:ascii="Times New Roman" w:hAnsi="Times New Roman" w:cs="Times New Roman"/>
          <w:sz w:val="24"/>
          <w:szCs w:val="24"/>
        </w:rPr>
      </w:pPr>
    </w:p>
    <w:p w:rsidR="00761FFF" w:rsidRPr="002F213D" w:rsidRDefault="00761FFF" w:rsidP="00761FFF">
      <w:pPr>
        <w:spacing w:after="0" w:line="480" w:lineRule="auto"/>
        <w:rPr>
          <w:rFonts w:ascii="Times New Roman" w:hAnsi="Times New Roman" w:cs="Times New Roman"/>
          <w:sz w:val="24"/>
          <w:szCs w:val="24"/>
        </w:rPr>
      </w:pPr>
      <w:r w:rsidRPr="002F213D">
        <w:rPr>
          <w:rFonts w:ascii="Times New Roman" w:hAnsi="Times New Roman" w:cs="Times New Roman"/>
          <w:sz w:val="24"/>
          <w:szCs w:val="24"/>
        </w:rPr>
        <w:t xml:space="preserve">For both of the above models, isotopic half-life (days), defined as the time required for a tissue to reach 50% equilibration with the isotopic value of a new diet, can be estimated as </w:t>
      </w:r>
      <w:proofErr w:type="gramStart"/>
      <w:r w:rsidRPr="002F213D">
        <w:rPr>
          <w:rFonts w:ascii="Times New Roman" w:hAnsi="Times New Roman" w:cs="Times New Roman"/>
          <w:sz w:val="24"/>
          <w:szCs w:val="24"/>
        </w:rPr>
        <w:t>ln(</w:t>
      </w:r>
      <w:proofErr w:type="gramEnd"/>
      <w:r w:rsidRPr="002F213D">
        <w:rPr>
          <w:rFonts w:ascii="Times New Roman" w:hAnsi="Times New Roman" w:cs="Times New Roman"/>
          <w:sz w:val="24"/>
          <w:szCs w:val="24"/>
        </w:rPr>
        <w:t xml:space="preserve">2)/λ. Finally, the Fry and Arnold model fits a power function to estimate a turnover parameter, </w:t>
      </w:r>
      <w:r w:rsidRPr="002F213D">
        <w:rPr>
          <w:rFonts w:ascii="Times New Roman" w:hAnsi="Times New Roman" w:cs="Times New Roman"/>
          <w:i/>
          <w:sz w:val="24"/>
          <w:szCs w:val="24"/>
        </w:rPr>
        <w:t>c</w:t>
      </w:r>
      <w:r w:rsidRPr="002F213D">
        <w:rPr>
          <w:rFonts w:ascii="Times New Roman" w:hAnsi="Times New Roman" w:cs="Times New Roman"/>
          <w:sz w:val="24"/>
          <w:szCs w:val="24"/>
        </w:rPr>
        <w:t xml:space="preserve">: </w:t>
      </w:r>
    </w:p>
    <w:p w:rsidR="00D042F4" w:rsidRDefault="00D042F4" w:rsidP="00D042F4">
      <w:pPr>
        <w:spacing w:after="0" w:line="480" w:lineRule="auto"/>
        <w:ind w:firstLine="720"/>
        <w:rPr>
          <w:rFonts w:ascii="Times New Roman" w:hAnsi="Times New Roman" w:cs="Times New Roman"/>
          <w:sz w:val="24"/>
          <w:szCs w:val="24"/>
        </w:rPr>
      </w:pPr>
    </w:p>
    <w:p w:rsidR="00761FFF" w:rsidRPr="002F213D" w:rsidRDefault="00761FFF" w:rsidP="00D042F4">
      <w:pPr>
        <w:spacing w:after="0" w:line="480" w:lineRule="auto"/>
        <w:ind w:firstLine="720"/>
        <w:rPr>
          <w:rFonts w:ascii="Times New Roman" w:hAnsi="Times New Roman" w:cs="Times New Roman"/>
          <w:sz w:val="24"/>
          <w:szCs w:val="24"/>
          <w:vertAlign w:val="superscript"/>
        </w:rPr>
      </w:pPr>
      <w:r w:rsidRPr="002F213D">
        <w:rPr>
          <w:rFonts w:ascii="Times New Roman" w:hAnsi="Times New Roman" w:cs="Times New Roman"/>
          <w:sz w:val="24"/>
          <w:szCs w:val="24"/>
        </w:rPr>
        <w:t xml:space="preserve">[3] </w:t>
      </w:r>
      <w:proofErr w:type="spellStart"/>
      <w:proofErr w:type="gramStart"/>
      <w:r w:rsidRPr="002F213D">
        <w:rPr>
          <w:rFonts w:ascii="Times New Roman" w:hAnsi="Times New Roman" w:cs="Times New Roman"/>
          <w:sz w:val="24"/>
          <w:szCs w:val="24"/>
        </w:rPr>
        <w:t>δ</w:t>
      </w:r>
      <w:r w:rsidRPr="002F213D">
        <w:rPr>
          <w:rFonts w:ascii="Times New Roman" w:hAnsi="Times New Roman" w:cs="Times New Roman"/>
          <w:sz w:val="24"/>
          <w:szCs w:val="24"/>
          <w:vertAlign w:val="subscript"/>
        </w:rPr>
        <w:t>m</w:t>
      </w:r>
      <w:proofErr w:type="spellEnd"/>
      <w:proofErr w:type="gramEnd"/>
      <w:r w:rsidRPr="002F213D">
        <w:rPr>
          <w:rFonts w:ascii="Times New Roman" w:hAnsi="Times New Roman" w:cs="Times New Roman"/>
          <w:sz w:val="24"/>
          <w:szCs w:val="24"/>
        </w:rPr>
        <w:t xml:space="preserve"> = </w:t>
      </w:r>
      <w:proofErr w:type="spellStart"/>
      <w:r w:rsidRPr="002F213D">
        <w:rPr>
          <w:rFonts w:ascii="Times New Roman" w:hAnsi="Times New Roman" w:cs="Times New Roman"/>
          <w:sz w:val="24"/>
          <w:szCs w:val="24"/>
        </w:rPr>
        <w:t>δ</w:t>
      </w:r>
      <w:r w:rsidRPr="002F213D">
        <w:rPr>
          <w:rFonts w:ascii="Times New Roman" w:hAnsi="Times New Roman" w:cs="Times New Roman"/>
          <w:sz w:val="24"/>
          <w:szCs w:val="24"/>
          <w:vertAlign w:val="subscript"/>
        </w:rPr>
        <w:t>n</w:t>
      </w:r>
      <w:proofErr w:type="spellEnd"/>
      <w:r w:rsidRPr="002F213D">
        <w:rPr>
          <w:rFonts w:ascii="Times New Roman" w:hAnsi="Times New Roman" w:cs="Times New Roman"/>
          <w:sz w:val="24"/>
          <w:szCs w:val="24"/>
        </w:rPr>
        <w:t xml:space="preserve"> + (</w:t>
      </w:r>
      <w:proofErr w:type="spellStart"/>
      <w:r w:rsidRPr="002F213D">
        <w:rPr>
          <w:rFonts w:ascii="Times New Roman" w:hAnsi="Times New Roman" w:cs="Times New Roman"/>
          <w:sz w:val="24"/>
          <w:szCs w:val="24"/>
        </w:rPr>
        <w:t>δ</w:t>
      </w:r>
      <w:r w:rsidRPr="002F213D">
        <w:rPr>
          <w:rFonts w:ascii="Times New Roman" w:hAnsi="Times New Roman" w:cs="Times New Roman"/>
          <w:sz w:val="24"/>
          <w:szCs w:val="24"/>
          <w:vertAlign w:val="subscript"/>
        </w:rPr>
        <w:t>o</w:t>
      </w:r>
      <w:r w:rsidRPr="002F213D">
        <w:rPr>
          <w:rFonts w:ascii="Times New Roman" w:hAnsi="Times New Roman" w:cs="Times New Roman"/>
          <w:sz w:val="24"/>
          <w:szCs w:val="24"/>
        </w:rPr>
        <w:t>-δ</w:t>
      </w:r>
      <w:r w:rsidRPr="002F213D">
        <w:rPr>
          <w:rFonts w:ascii="Times New Roman" w:hAnsi="Times New Roman" w:cs="Times New Roman"/>
          <w:sz w:val="24"/>
          <w:szCs w:val="24"/>
          <w:vertAlign w:val="subscript"/>
        </w:rPr>
        <w:t>n</w:t>
      </w:r>
      <w:proofErr w:type="spellEnd"/>
      <w:r w:rsidRPr="002F213D">
        <w:rPr>
          <w:rFonts w:ascii="Times New Roman" w:hAnsi="Times New Roman" w:cs="Times New Roman"/>
          <w:sz w:val="24"/>
          <w:szCs w:val="24"/>
        </w:rPr>
        <w:t>)*</w:t>
      </w:r>
      <w:proofErr w:type="spellStart"/>
      <w:r w:rsidRPr="002F213D">
        <w:rPr>
          <w:rFonts w:ascii="Times New Roman" w:hAnsi="Times New Roman" w:cs="Times New Roman"/>
          <w:sz w:val="24"/>
          <w:szCs w:val="24"/>
        </w:rPr>
        <w:t>w</w:t>
      </w:r>
      <w:r w:rsidRPr="002F213D">
        <w:rPr>
          <w:rFonts w:ascii="Times New Roman" w:hAnsi="Times New Roman" w:cs="Times New Roman"/>
          <w:sz w:val="24"/>
          <w:szCs w:val="24"/>
          <w:vertAlign w:val="superscript"/>
        </w:rPr>
        <w:t>c</w:t>
      </w:r>
      <w:proofErr w:type="spellEnd"/>
      <w:r w:rsidRPr="002F213D">
        <w:rPr>
          <w:rFonts w:ascii="Times New Roman" w:hAnsi="Times New Roman" w:cs="Times New Roman"/>
          <w:sz w:val="24"/>
          <w:szCs w:val="24"/>
          <w:vertAlign w:val="superscript"/>
        </w:rPr>
        <w:t xml:space="preserve"> </w:t>
      </w:r>
    </w:p>
    <w:p w:rsidR="00D042F4" w:rsidRDefault="00D042F4" w:rsidP="00761FFF">
      <w:pPr>
        <w:spacing w:after="0" w:line="480" w:lineRule="auto"/>
        <w:rPr>
          <w:rFonts w:ascii="Times New Roman" w:hAnsi="Times New Roman" w:cs="Times New Roman"/>
          <w:sz w:val="24"/>
          <w:szCs w:val="24"/>
        </w:rPr>
      </w:pPr>
    </w:p>
    <w:p w:rsidR="00761FFF" w:rsidRPr="002F213D" w:rsidRDefault="00761FFF" w:rsidP="00761FFF">
      <w:pPr>
        <w:spacing w:after="0" w:line="480" w:lineRule="auto"/>
        <w:rPr>
          <w:rFonts w:ascii="Times New Roman" w:hAnsi="Times New Roman" w:cs="Times New Roman"/>
          <w:sz w:val="24"/>
          <w:szCs w:val="24"/>
        </w:rPr>
      </w:pPr>
      <w:r w:rsidRPr="002F213D">
        <w:rPr>
          <w:rFonts w:ascii="Times New Roman" w:hAnsi="Times New Roman" w:cs="Times New Roman"/>
          <w:sz w:val="24"/>
          <w:szCs w:val="24"/>
        </w:rPr>
        <w:t xml:space="preserve">A turnover function </w:t>
      </w:r>
      <w:proofErr w:type="gramStart"/>
      <w:r w:rsidRPr="002F213D">
        <w:rPr>
          <w:rFonts w:ascii="Times New Roman" w:hAnsi="Times New Roman" w:cs="Times New Roman"/>
          <w:sz w:val="24"/>
          <w:szCs w:val="24"/>
        </w:rPr>
        <w:t>T(</w:t>
      </w:r>
      <w:proofErr w:type="gramEnd"/>
      <w:r w:rsidRPr="002F213D">
        <w:rPr>
          <w:rFonts w:ascii="Times New Roman" w:hAnsi="Times New Roman" w:cs="Times New Roman"/>
          <w:sz w:val="24"/>
          <w:szCs w:val="24"/>
        </w:rPr>
        <w:t>w) expressed in terms of mass is estimated as T(w) = w</w:t>
      </w:r>
      <w:r w:rsidRPr="002F213D">
        <w:rPr>
          <w:rFonts w:ascii="Times New Roman" w:hAnsi="Times New Roman" w:cs="Times New Roman"/>
          <w:sz w:val="24"/>
          <w:szCs w:val="24"/>
          <w:vertAlign w:val="superscript"/>
        </w:rPr>
        <w:t>(c+1)</w:t>
      </w:r>
      <w:r w:rsidRPr="002F213D">
        <w:rPr>
          <w:rFonts w:ascii="Times New Roman" w:hAnsi="Times New Roman" w:cs="Times New Roman"/>
          <w:sz w:val="24"/>
          <w:szCs w:val="24"/>
        </w:rPr>
        <w:t>, where w is the percent of initial body mass at the time of sampling (</w:t>
      </w:r>
      <w:proofErr w:type="spellStart"/>
      <w:r w:rsidRPr="002F213D">
        <w:rPr>
          <w:rFonts w:ascii="Times New Roman" w:hAnsi="Times New Roman" w:cs="Times New Roman"/>
          <w:sz w:val="24"/>
          <w:szCs w:val="24"/>
        </w:rPr>
        <w:t>w</w:t>
      </w:r>
      <w:r w:rsidRPr="002F213D">
        <w:rPr>
          <w:rFonts w:ascii="Times New Roman" w:hAnsi="Times New Roman" w:cs="Times New Roman"/>
          <w:sz w:val="24"/>
          <w:szCs w:val="24"/>
          <w:vertAlign w:val="subscript"/>
        </w:rPr>
        <w:t>n</w:t>
      </w:r>
      <w:proofErr w:type="spellEnd"/>
      <w:r w:rsidRPr="002F213D">
        <w:rPr>
          <w:rFonts w:ascii="Times New Roman" w:hAnsi="Times New Roman" w:cs="Times New Roman"/>
          <w:sz w:val="24"/>
          <w:szCs w:val="24"/>
        </w:rPr>
        <w:t>/</w:t>
      </w:r>
      <w:proofErr w:type="spellStart"/>
      <w:r w:rsidRPr="002F213D">
        <w:rPr>
          <w:rFonts w:ascii="Times New Roman" w:hAnsi="Times New Roman" w:cs="Times New Roman"/>
          <w:sz w:val="24"/>
          <w:szCs w:val="24"/>
        </w:rPr>
        <w:t>w</w:t>
      </w:r>
      <w:r w:rsidRPr="002F213D">
        <w:rPr>
          <w:rFonts w:ascii="Times New Roman" w:hAnsi="Times New Roman" w:cs="Times New Roman"/>
          <w:sz w:val="24"/>
          <w:szCs w:val="24"/>
          <w:vertAlign w:val="subscript"/>
        </w:rPr>
        <w:t>o</w:t>
      </w:r>
      <w:proofErr w:type="spellEnd"/>
      <w:r w:rsidRPr="002F213D">
        <w:rPr>
          <w:rFonts w:ascii="Times New Roman" w:hAnsi="Times New Roman" w:cs="Times New Roman"/>
          <w:sz w:val="24"/>
          <w:szCs w:val="24"/>
        </w:rPr>
        <w:t>*100). Half-life is estimated by settin</w:t>
      </w:r>
      <w:r>
        <w:rPr>
          <w:rFonts w:ascii="Times New Roman" w:hAnsi="Times New Roman" w:cs="Times New Roman"/>
          <w:sz w:val="24"/>
          <w:szCs w:val="24"/>
        </w:rPr>
        <w:t xml:space="preserve">g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w) = 0.5, and solving for w. This can be expressed in terms of time if growth rate is known.</w:t>
      </w:r>
    </w:p>
    <w:p w:rsidR="00761FFF" w:rsidRDefault="00761FFF">
      <w:pPr>
        <w:rPr>
          <w:rFonts w:ascii="Times New Roman" w:hAnsi="Times New Roman" w:cs="Times New Roman"/>
          <w:sz w:val="24"/>
          <w:szCs w:val="24"/>
        </w:rPr>
      </w:pPr>
      <w:r>
        <w:rPr>
          <w:rFonts w:ascii="Times New Roman" w:hAnsi="Times New Roman" w:cs="Times New Roman"/>
          <w:sz w:val="24"/>
          <w:szCs w:val="24"/>
        </w:rPr>
        <w:br w:type="page"/>
      </w:r>
    </w:p>
    <w:p w:rsidR="00761FFF" w:rsidRPr="00EE30C4" w:rsidRDefault="00761FFF" w:rsidP="00761FFF">
      <w:pPr>
        <w:spacing w:after="0" w:line="480" w:lineRule="auto"/>
        <w:rPr>
          <w:rFonts w:ascii="Times New Roman" w:hAnsi="Times New Roman" w:cs="Times New Roman"/>
          <w:sz w:val="24"/>
        </w:rPr>
      </w:pPr>
      <w:proofErr w:type="gramStart"/>
      <w:r w:rsidRPr="00EE30C4">
        <w:rPr>
          <w:rFonts w:ascii="Times New Roman" w:hAnsi="Times New Roman" w:cs="Times New Roman"/>
          <w:sz w:val="24"/>
        </w:rPr>
        <w:lastRenderedPageBreak/>
        <w:t>Table 1.</w:t>
      </w:r>
      <w:proofErr w:type="gramEnd"/>
      <w:r w:rsidRPr="00EE30C4">
        <w:rPr>
          <w:rFonts w:ascii="Times New Roman" w:hAnsi="Times New Roman" w:cs="Times New Roman"/>
          <w:sz w:val="24"/>
        </w:rPr>
        <w:t xml:space="preserve"> Parameters from the three basic models used to estimate </w:t>
      </w:r>
      <w:r w:rsidR="000F6F87">
        <w:rPr>
          <w:rFonts w:ascii="Times New Roman" w:hAnsi="Times New Roman" w:cs="Times New Roman"/>
          <w:sz w:val="24"/>
        </w:rPr>
        <w:t>isotopic turnover and half-life</w:t>
      </w:r>
      <w:r w:rsidRPr="00D042F4">
        <w:rPr>
          <w:rFonts w:ascii="Times New Roman" w:hAnsi="Times New Roman" w:cs="Times New Roman"/>
          <w:sz w:val="24"/>
        </w:rPr>
        <w:t>.</w:t>
      </w:r>
      <w:r w:rsidRPr="00EE30C4">
        <w:rPr>
          <w:rFonts w:ascii="Times New Roman" w:hAnsi="Times New Roman" w:cs="Times New Roman"/>
          <w:sz w:val="24"/>
        </w:rPr>
        <w:t xml:space="preserve"> Symbols and variable names differ slightly from the original studies. </w:t>
      </w:r>
    </w:p>
    <w:p w:rsidR="00761FFF" w:rsidRDefault="00761FFF" w:rsidP="00761FFF">
      <w:pPr>
        <w:spacing w:after="0" w:line="48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5820"/>
      </w:tblGrid>
      <w:tr w:rsidR="00761FFF" w:rsidTr="00C07488">
        <w:trPr>
          <w:trHeight w:val="495"/>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symbol</w:t>
            </w:r>
          </w:p>
        </w:tc>
        <w:tc>
          <w:tcPr>
            <w:tcW w:w="5820" w:type="dxa"/>
            <w:hideMark/>
          </w:tcPr>
          <w:p w:rsidR="00761FFF" w:rsidRDefault="00761FFF" w:rsidP="00C07488">
            <w:pPr>
              <w:spacing w:line="480" w:lineRule="auto"/>
              <w:rPr>
                <w:rFonts w:ascii="Times New Roman" w:hAnsi="Times New Roman" w:cs="Times New Roman"/>
                <w:i/>
              </w:rPr>
            </w:pPr>
            <w:r>
              <w:rPr>
                <w:rFonts w:ascii="Times New Roman" w:hAnsi="Times New Roman" w:cs="Times New Roman"/>
                <w:i/>
              </w:rPr>
              <w:t>Definition</w:t>
            </w:r>
          </w:p>
        </w:tc>
      </w:tr>
      <w:tr w:rsidR="00761FFF" w:rsidTr="00C07488">
        <w:trPr>
          <w:trHeight w:val="510"/>
        </w:trPr>
        <w:tc>
          <w:tcPr>
            <w:tcW w:w="2009" w:type="dxa"/>
            <w:hideMark/>
          </w:tcPr>
          <w:p w:rsidR="00761FFF" w:rsidRDefault="00761FFF" w:rsidP="00C07488">
            <w:pPr>
              <w:spacing w:line="480" w:lineRule="auto"/>
              <w:jc w:val="center"/>
              <w:rPr>
                <w:rFonts w:ascii="Times New Roman" w:hAnsi="Times New Roman" w:cs="Times New Roman"/>
                <w:i/>
              </w:rPr>
            </w:pPr>
            <w:proofErr w:type="spellStart"/>
            <w:r>
              <w:rPr>
                <w:rFonts w:ascii="Times New Roman" w:hAnsi="Times New Roman" w:cs="Times New Roman"/>
                <w:i/>
              </w:rPr>
              <w:t>δ</w:t>
            </w:r>
            <w:r>
              <w:rPr>
                <w:rFonts w:ascii="Times New Roman" w:hAnsi="Times New Roman" w:cs="Times New Roman"/>
                <w:i/>
                <w:vertAlign w:val="subscript"/>
              </w:rPr>
              <w:t>t</w:t>
            </w:r>
            <w:proofErr w:type="spellEnd"/>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isotopic value (‰) of the organism at time t</w:t>
            </w:r>
          </w:p>
        </w:tc>
      </w:tr>
      <w:tr w:rsidR="00761FFF" w:rsidTr="00C07488">
        <w:trPr>
          <w:trHeight w:val="512"/>
        </w:trPr>
        <w:tc>
          <w:tcPr>
            <w:tcW w:w="2009" w:type="dxa"/>
            <w:hideMark/>
          </w:tcPr>
          <w:p w:rsidR="00761FFF" w:rsidRDefault="00761FFF" w:rsidP="00C07488">
            <w:pPr>
              <w:spacing w:line="480" w:lineRule="auto"/>
              <w:jc w:val="center"/>
              <w:rPr>
                <w:rFonts w:ascii="Times New Roman" w:hAnsi="Times New Roman" w:cs="Times New Roman"/>
                <w:i/>
              </w:rPr>
            </w:pPr>
            <w:proofErr w:type="spellStart"/>
            <w:r>
              <w:rPr>
                <w:rFonts w:ascii="Times New Roman" w:hAnsi="Times New Roman" w:cs="Times New Roman"/>
                <w:i/>
              </w:rPr>
              <w:t>δ</w:t>
            </w:r>
            <w:r>
              <w:rPr>
                <w:rFonts w:ascii="Times New Roman" w:hAnsi="Times New Roman" w:cs="Times New Roman"/>
                <w:i/>
                <w:vertAlign w:val="subscript"/>
              </w:rPr>
              <w:t>o</w:t>
            </w:r>
            <w:proofErr w:type="spellEnd"/>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initial isotopic value (‰) at equilibrium with the old diet</w:t>
            </w:r>
          </w:p>
        </w:tc>
      </w:tr>
      <w:tr w:rsidR="00761FFF" w:rsidTr="00C07488">
        <w:trPr>
          <w:trHeight w:val="530"/>
        </w:trPr>
        <w:tc>
          <w:tcPr>
            <w:tcW w:w="2009" w:type="dxa"/>
            <w:hideMark/>
          </w:tcPr>
          <w:p w:rsidR="00761FFF" w:rsidRDefault="00761FFF" w:rsidP="00C07488">
            <w:pPr>
              <w:spacing w:line="480" w:lineRule="auto"/>
              <w:jc w:val="center"/>
              <w:rPr>
                <w:rFonts w:ascii="Times New Roman" w:hAnsi="Times New Roman" w:cs="Times New Roman"/>
                <w:i/>
              </w:rPr>
            </w:pPr>
            <w:proofErr w:type="spellStart"/>
            <w:r>
              <w:rPr>
                <w:rFonts w:ascii="Times New Roman" w:hAnsi="Times New Roman" w:cs="Times New Roman"/>
                <w:i/>
              </w:rPr>
              <w:t>δ</w:t>
            </w:r>
            <w:r>
              <w:rPr>
                <w:rFonts w:ascii="Times New Roman" w:hAnsi="Times New Roman" w:cs="Times New Roman"/>
                <w:i/>
                <w:vertAlign w:val="subscript"/>
              </w:rPr>
              <w:t>n</w:t>
            </w:r>
            <w:proofErr w:type="spellEnd"/>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isotopic value (‰) after equilibration with the new diet</w:t>
            </w:r>
          </w:p>
        </w:tc>
      </w:tr>
      <w:tr w:rsidR="00761FFF" w:rsidTr="00C07488">
        <w:trPr>
          <w:trHeight w:val="510"/>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t</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time (days)</w:t>
            </w:r>
          </w:p>
        </w:tc>
      </w:tr>
      <w:tr w:rsidR="00761FFF" w:rsidTr="00C07488">
        <w:trPr>
          <w:trHeight w:val="495"/>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λ</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Turnover rate (days</w:t>
            </w:r>
            <w:r>
              <w:rPr>
                <w:rFonts w:ascii="Times New Roman" w:hAnsi="Times New Roman" w:cs="Times New Roman"/>
                <w:vertAlign w:val="superscript"/>
              </w:rPr>
              <w:t>-1</w:t>
            </w:r>
            <w:r>
              <w:rPr>
                <w:rFonts w:ascii="Times New Roman" w:hAnsi="Times New Roman" w:cs="Times New Roman"/>
              </w:rPr>
              <w:t>)</w:t>
            </w:r>
          </w:p>
        </w:tc>
      </w:tr>
      <w:tr w:rsidR="00761FFF" w:rsidTr="00C07488">
        <w:trPr>
          <w:trHeight w:val="495"/>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k</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Growth rate (days</w:t>
            </w:r>
            <w:r>
              <w:rPr>
                <w:rFonts w:ascii="Times New Roman" w:hAnsi="Times New Roman" w:cs="Times New Roman"/>
                <w:vertAlign w:val="superscript"/>
              </w:rPr>
              <w:t>-1</w:t>
            </w:r>
            <w:r>
              <w:rPr>
                <w:rFonts w:ascii="Times New Roman" w:hAnsi="Times New Roman" w:cs="Times New Roman"/>
              </w:rPr>
              <w:t>)</w:t>
            </w:r>
          </w:p>
        </w:tc>
      </w:tr>
      <w:tr w:rsidR="00761FFF" w:rsidTr="00C07488">
        <w:trPr>
          <w:trHeight w:val="510"/>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m</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Metabolic turnover (days</w:t>
            </w:r>
            <w:r>
              <w:rPr>
                <w:rFonts w:ascii="Times New Roman" w:hAnsi="Times New Roman" w:cs="Times New Roman"/>
                <w:vertAlign w:val="superscript"/>
              </w:rPr>
              <w:t>-1</w:t>
            </w:r>
            <w:r>
              <w:rPr>
                <w:rFonts w:ascii="Times New Roman" w:hAnsi="Times New Roman" w:cs="Times New Roman"/>
              </w:rPr>
              <w:t>)</w:t>
            </w:r>
          </w:p>
        </w:tc>
      </w:tr>
      <w:tr w:rsidR="00761FFF" w:rsidTr="00C07488">
        <w:trPr>
          <w:trHeight w:val="525"/>
        </w:trPr>
        <w:tc>
          <w:tcPr>
            <w:tcW w:w="2009" w:type="dxa"/>
            <w:hideMark/>
          </w:tcPr>
          <w:p w:rsidR="00761FFF" w:rsidRDefault="00761FFF" w:rsidP="00C07488">
            <w:pPr>
              <w:spacing w:line="480" w:lineRule="auto"/>
              <w:jc w:val="center"/>
              <w:rPr>
                <w:rFonts w:ascii="Times New Roman" w:hAnsi="Times New Roman" w:cs="Times New Roman"/>
                <w:i/>
              </w:rPr>
            </w:pPr>
            <w:r>
              <w:rPr>
                <w:rFonts w:ascii="Symbol" w:hAnsi="Symbol" w:cs="Times New Roman"/>
                <w:i/>
              </w:rPr>
              <w:t></w:t>
            </w:r>
            <w:r>
              <w:rPr>
                <w:rFonts w:ascii="Times New Roman" w:hAnsi="Times New Roman" w:cs="Times New Roman"/>
                <w:i/>
                <w:vertAlign w:val="subscript"/>
              </w:rPr>
              <w:t>w</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Isotopic value (‰) of the organism at mass w</w:t>
            </w:r>
          </w:p>
        </w:tc>
      </w:tr>
      <w:tr w:rsidR="00761FFF" w:rsidTr="00C07488">
        <w:trPr>
          <w:trHeight w:val="555"/>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w</w:t>
            </w:r>
            <w:r>
              <w:rPr>
                <w:rFonts w:ascii="Times New Roman" w:hAnsi="Times New Roman" w:cs="Times New Roman"/>
                <w:i/>
                <w:vertAlign w:val="subscript"/>
              </w:rPr>
              <w:t>o</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initial mass (g)</w:t>
            </w:r>
          </w:p>
        </w:tc>
      </w:tr>
      <w:tr w:rsidR="00761FFF" w:rsidTr="00C07488">
        <w:trPr>
          <w:trHeight w:val="540"/>
        </w:trPr>
        <w:tc>
          <w:tcPr>
            <w:tcW w:w="2009" w:type="dxa"/>
            <w:hideMark/>
          </w:tcPr>
          <w:p w:rsidR="00761FFF" w:rsidRDefault="00761FFF" w:rsidP="00C07488">
            <w:pPr>
              <w:spacing w:line="480" w:lineRule="auto"/>
              <w:jc w:val="center"/>
              <w:rPr>
                <w:rFonts w:ascii="Times New Roman" w:hAnsi="Times New Roman" w:cs="Times New Roman"/>
                <w:i/>
              </w:rPr>
            </w:pPr>
            <w:proofErr w:type="spellStart"/>
            <w:r>
              <w:rPr>
                <w:rFonts w:ascii="Times New Roman" w:hAnsi="Times New Roman" w:cs="Times New Roman"/>
                <w:i/>
              </w:rPr>
              <w:t>w</w:t>
            </w:r>
            <w:r>
              <w:rPr>
                <w:rFonts w:ascii="Times New Roman" w:hAnsi="Times New Roman" w:cs="Times New Roman"/>
                <w:i/>
                <w:vertAlign w:val="subscript"/>
              </w:rPr>
              <w:t>n</w:t>
            </w:r>
            <w:proofErr w:type="spellEnd"/>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mass at the time of sampling (g)</w:t>
            </w:r>
          </w:p>
        </w:tc>
      </w:tr>
      <w:tr w:rsidR="00761FFF" w:rsidTr="00C07488">
        <w:trPr>
          <w:trHeight w:val="510"/>
        </w:trPr>
        <w:tc>
          <w:tcPr>
            <w:tcW w:w="2009" w:type="dxa"/>
            <w:hideMark/>
          </w:tcPr>
          <w:p w:rsidR="00761FFF" w:rsidRDefault="00761FFF" w:rsidP="00C07488">
            <w:pPr>
              <w:spacing w:line="480" w:lineRule="auto"/>
              <w:jc w:val="center"/>
              <w:rPr>
                <w:rFonts w:ascii="Times New Roman" w:hAnsi="Times New Roman" w:cs="Times New Roman"/>
                <w:i/>
              </w:rPr>
            </w:pPr>
            <w:r>
              <w:rPr>
                <w:rFonts w:ascii="Times New Roman" w:hAnsi="Times New Roman" w:cs="Times New Roman"/>
                <w:i/>
              </w:rPr>
              <w:t>w</w:t>
            </w:r>
          </w:p>
        </w:tc>
        <w:tc>
          <w:tcPr>
            <w:tcW w:w="5820" w:type="dxa"/>
            <w:hideMark/>
          </w:tcPr>
          <w:p w:rsidR="00761FFF" w:rsidRDefault="00761FFF" w:rsidP="00C07488">
            <w:pPr>
              <w:spacing w:line="480" w:lineRule="auto"/>
              <w:rPr>
                <w:rFonts w:ascii="Times New Roman" w:hAnsi="Times New Roman" w:cs="Times New Roman"/>
              </w:rPr>
            </w:pPr>
            <w:r>
              <w:rPr>
                <w:rFonts w:ascii="Times New Roman" w:hAnsi="Times New Roman" w:cs="Times New Roman"/>
              </w:rPr>
              <w:t>percent of initial body mass at the time of sampling</w:t>
            </w:r>
          </w:p>
        </w:tc>
      </w:tr>
    </w:tbl>
    <w:p w:rsidR="00D042F4" w:rsidRDefault="00D042F4"/>
    <w:p w:rsidR="00D042F4" w:rsidRDefault="00D042F4"/>
    <w:p w:rsidR="00D042F4" w:rsidRDefault="00D042F4">
      <w:pPr>
        <w:rPr>
          <w:rFonts w:ascii="Times New Roman" w:hAnsi="Times New Roman" w:cs="Times New Roman"/>
          <w:b/>
          <w:sz w:val="24"/>
        </w:rPr>
      </w:pPr>
      <w:r>
        <w:rPr>
          <w:rFonts w:ascii="Times New Roman" w:hAnsi="Times New Roman" w:cs="Times New Roman"/>
          <w:b/>
          <w:sz w:val="24"/>
        </w:rPr>
        <w:br w:type="page"/>
      </w:r>
    </w:p>
    <w:p w:rsidR="00D042F4" w:rsidRPr="00C7053C" w:rsidRDefault="00D042F4" w:rsidP="00D042F4">
      <w:pPr>
        <w:spacing w:after="0" w:line="480" w:lineRule="auto"/>
        <w:ind w:left="720" w:hanging="720"/>
        <w:rPr>
          <w:rFonts w:ascii="Times New Roman" w:hAnsi="Times New Roman" w:cs="Times New Roman"/>
          <w:b/>
          <w:sz w:val="24"/>
        </w:rPr>
      </w:pPr>
      <w:r w:rsidRPr="00C7053C">
        <w:rPr>
          <w:rFonts w:ascii="Times New Roman" w:hAnsi="Times New Roman" w:cs="Times New Roman"/>
          <w:b/>
          <w:sz w:val="24"/>
        </w:rPr>
        <w:lastRenderedPageBreak/>
        <w:t xml:space="preserve">References </w:t>
      </w:r>
    </w:p>
    <w:p w:rsidR="000F6F87" w:rsidRPr="00C7053C" w:rsidRDefault="00E44D18" w:rsidP="00C7053C">
      <w:pPr>
        <w:spacing w:after="0" w:line="480" w:lineRule="auto"/>
        <w:ind w:left="720" w:hanging="720"/>
        <w:rPr>
          <w:rFonts w:ascii="Times New Roman" w:hAnsi="Times New Roman" w:cs="Times New Roman"/>
          <w:noProof/>
        </w:rPr>
      </w:pPr>
      <w:r w:rsidRPr="00C7053C">
        <w:rPr>
          <w:rFonts w:ascii="Times New Roman" w:hAnsi="Times New Roman" w:cs="Times New Roman"/>
        </w:rPr>
        <w:fldChar w:fldCharType="begin"/>
      </w:r>
      <w:r w:rsidR="00D042F4" w:rsidRPr="00C7053C">
        <w:rPr>
          <w:rFonts w:ascii="Times New Roman" w:hAnsi="Times New Roman" w:cs="Times New Roman"/>
        </w:rPr>
        <w:instrText xml:space="preserve"> ADDIN EN.REFLIST </w:instrText>
      </w:r>
      <w:r w:rsidRPr="00C7053C">
        <w:rPr>
          <w:rFonts w:ascii="Times New Roman" w:hAnsi="Times New Roman" w:cs="Times New Roman"/>
        </w:rPr>
        <w:fldChar w:fldCharType="separate"/>
      </w:r>
      <w:bookmarkStart w:id="0" w:name="_ENREF_1"/>
      <w:r w:rsidR="000F6F87" w:rsidRPr="00C7053C">
        <w:rPr>
          <w:rFonts w:ascii="Times New Roman" w:hAnsi="Times New Roman" w:cs="Times New Roman"/>
          <w:noProof/>
        </w:rPr>
        <w:t>1. Carleton SA, Kelly L, Anderson-Sprecher R, del Rio CM (2008) Should we use one-, or multi-compartment models to describe C-13 incorporation into animal tissues? Rapid Communications in Mass Spectrometry 22: 3008-3014.</w:t>
      </w:r>
      <w:bookmarkEnd w:id="0"/>
    </w:p>
    <w:p w:rsidR="000F6F87" w:rsidRPr="00C7053C" w:rsidRDefault="000F6F87" w:rsidP="00C7053C">
      <w:pPr>
        <w:spacing w:after="0" w:line="480" w:lineRule="auto"/>
        <w:ind w:left="720" w:hanging="720"/>
        <w:rPr>
          <w:rFonts w:ascii="Times New Roman" w:hAnsi="Times New Roman" w:cs="Times New Roman"/>
          <w:noProof/>
        </w:rPr>
      </w:pPr>
      <w:bookmarkStart w:id="1" w:name="_ENREF_2"/>
      <w:r w:rsidRPr="00C7053C">
        <w:rPr>
          <w:rFonts w:ascii="Times New Roman" w:hAnsi="Times New Roman" w:cs="Times New Roman"/>
          <w:noProof/>
        </w:rPr>
        <w:t>2. Cerling TE, Ayliffe LK, Dearing MD, Ehleringer JR, Passey BH, et al. (2007) Determining biological tissue turnover using stable isotopes: the reaction progress variable. Oecologia 151: 175-189.</w:t>
      </w:r>
      <w:bookmarkEnd w:id="1"/>
    </w:p>
    <w:p w:rsidR="000F6F87" w:rsidRPr="00C7053C" w:rsidRDefault="000F6F87" w:rsidP="00C7053C">
      <w:pPr>
        <w:spacing w:after="0" w:line="480" w:lineRule="auto"/>
        <w:ind w:left="720" w:hanging="720"/>
        <w:rPr>
          <w:rFonts w:ascii="Times New Roman" w:hAnsi="Times New Roman" w:cs="Times New Roman"/>
          <w:noProof/>
        </w:rPr>
      </w:pPr>
      <w:bookmarkStart w:id="2" w:name="_ENREF_3"/>
      <w:r w:rsidRPr="00C7053C">
        <w:rPr>
          <w:rFonts w:ascii="Times New Roman" w:hAnsi="Times New Roman" w:cs="Times New Roman"/>
          <w:noProof/>
        </w:rPr>
        <w:t>3. Hobson KA, Clark RG (1992) Assessing avian diets using stable isotopes I: Turnover of 13C in tissues. Condor 94: 181-188.</w:t>
      </w:r>
      <w:bookmarkStart w:id="3" w:name="_GoBack"/>
      <w:bookmarkEnd w:id="2"/>
      <w:bookmarkEnd w:id="3"/>
    </w:p>
    <w:p w:rsidR="000F6F87" w:rsidRPr="00C7053C" w:rsidRDefault="000F6F87" w:rsidP="00C7053C">
      <w:pPr>
        <w:spacing w:after="0" w:line="480" w:lineRule="auto"/>
        <w:ind w:left="720" w:hanging="720"/>
        <w:rPr>
          <w:rFonts w:ascii="Times New Roman" w:hAnsi="Times New Roman" w:cs="Times New Roman"/>
          <w:noProof/>
        </w:rPr>
      </w:pPr>
      <w:bookmarkStart w:id="4" w:name="_ENREF_4"/>
      <w:r w:rsidRPr="00C7053C">
        <w:rPr>
          <w:rFonts w:ascii="Times New Roman" w:hAnsi="Times New Roman" w:cs="Times New Roman"/>
          <w:noProof/>
        </w:rPr>
        <w:t>4. Hesslein RH, Hallard KA, Ramlal P (1993) Replacement of sulfur, carbon, and nitrogen in tissue of growing broad whitefish (</w:t>
      </w:r>
      <w:r w:rsidRPr="00C7053C">
        <w:rPr>
          <w:rFonts w:ascii="Times New Roman" w:hAnsi="Times New Roman" w:cs="Times New Roman"/>
          <w:i/>
          <w:noProof/>
        </w:rPr>
        <w:t>Coregonus nasus</w:t>
      </w:r>
      <w:r w:rsidRPr="00C7053C">
        <w:rPr>
          <w:rFonts w:ascii="Times New Roman" w:hAnsi="Times New Roman" w:cs="Times New Roman"/>
          <w:noProof/>
        </w:rPr>
        <w:t>) in response to a change in diet traced by 34S, 13C, and 15N. Canadian Journal of Fisheries and Aquatic Sciences 50: 2071-2076.</w:t>
      </w:r>
      <w:bookmarkEnd w:id="4"/>
    </w:p>
    <w:p w:rsidR="000F6F87" w:rsidRPr="00C7053C" w:rsidRDefault="000F6F87" w:rsidP="00C7053C">
      <w:pPr>
        <w:spacing w:line="480" w:lineRule="auto"/>
        <w:ind w:left="720" w:hanging="720"/>
        <w:rPr>
          <w:rFonts w:ascii="Times New Roman" w:hAnsi="Times New Roman" w:cs="Times New Roman"/>
          <w:noProof/>
        </w:rPr>
      </w:pPr>
      <w:bookmarkStart w:id="5" w:name="_ENREF_5"/>
      <w:r w:rsidRPr="00C7053C">
        <w:rPr>
          <w:rFonts w:ascii="Times New Roman" w:hAnsi="Times New Roman" w:cs="Times New Roman"/>
          <w:noProof/>
        </w:rPr>
        <w:t>5. Fry B, Arnold C (1982) Rapid 13C/12C turnover during growth of brown shrimp (</w:t>
      </w:r>
      <w:r w:rsidRPr="00C7053C">
        <w:rPr>
          <w:rFonts w:ascii="Times New Roman" w:hAnsi="Times New Roman" w:cs="Times New Roman"/>
          <w:i/>
          <w:noProof/>
        </w:rPr>
        <w:t>Penaeus aztecus</w:t>
      </w:r>
      <w:r w:rsidRPr="00C7053C">
        <w:rPr>
          <w:rFonts w:ascii="Times New Roman" w:hAnsi="Times New Roman" w:cs="Times New Roman"/>
          <w:noProof/>
        </w:rPr>
        <w:t>). Oecologia 54: 200-204.</w:t>
      </w:r>
      <w:bookmarkEnd w:id="5"/>
    </w:p>
    <w:p w:rsidR="000F6F87" w:rsidRPr="00C7053C" w:rsidRDefault="000F6F87" w:rsidP="000F6F87">
      <w:pPr>
        <w:spacing w:line="240" w:lineRule="auto"/>
        <w:rPr>
          <w:rFonts w:ascii="Times New Roman" w:hAnsi="Times New Roman" w:cs="Times New Roman"/>
          <w:noProof/>
          <w:sz w:val="24"/>
          <w:szCs w:val="24"/>
        </w:rPr>
      </w:pPr>
    </w:p>
    <w:p w:rsidR="00D042F4" w:rsidRDefault="00E44D18">
      <w:r w:rsidRPr="00C7053C">
        <w:rPr>
          <w:rFonts w:ascii="Times New Roman" w:hAnsi="Times New Roman" w:cs="Times New Roman"/>
        </w:rPr>
        <w:fldChar w:fldCharType="end"/>
      </w:r>
    </w:p>
    <w:sectPr w:rsidR="00D042F4" w:rsidSect="001A1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60" w:rsidRDefault="00544660" w:rsidP="00C7053C">
      <w:pPr>
        <w:spacing w:after="0" w:line="240" w:lineRule="auto"/>
      </w:pPr>
      <w:r>
        <w:separator/>
      </w:r>
    </w:p>
  </w:endnote>
  <w:endnote w:type="continuationSeparator" w:id="0">
    <w:p w:rsidR="00544660" w:rsidRDefault="00544660" w:rsidP="00C7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26030"/>
      <w:docPartObj>
        <w:docPartGallery w:val="Page Numbers (Bottom of Page)"/>
        <w:docPartUnique/>
      </w:docPartObj>
    </w:sdtPr>
    <w:sdtEndPr>
      <w:rPr>
        <w:noProof/>
      </w:rPr>
    </w:sdtEndPr>
    <w:sdtContent>
      <w:p w:rsidR="00C7053C" w:rsidRDefault="00C705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053C" w:rsidRDefault="00C70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60" w:rsidRDefault="00544660" w:rsidP="00C7053C">
      <w:pPr>
        <w:spacing w:after="0" w:line="240" w:lineRule="auto"/>
      </w:pPr>
      <w:r>
        <w:separator/>
      </w:r>
    </w:p>
  </w:footnote>
  <w:footnote w:type="continuationSeparator" w:id="0">
    <w:p w:rsidR="00544660" w:rsidRDefault="00544660" w:rsidP="00C70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tfx0p08vxf0xeefep5aes1tpep0zezdp0d&quot;&gt;DIET RIOT2-Converted&lt;record-ids&gt;&lt;item&gt;1059&lt;/item&gt;&lt;item&gt;1229&lt;/item&gt;&lt;item&gt;1230&lt;/item&gt;&lt;item&gt;6088&lt;/item&gt;&lt;item&gt;6092&lt;/item&gt;&lt;/record-ids&gt;&lt;/item&gt;&lt;/Libraries&gt;"/>
  </w:docVars>
  <w:rsids>
    <w:rsidRoot w:val="00761FFF"/>
    <w:rsid w:val="000F6F87"/>
    <w:rsid w:val="00177B4F"/>
    <w:rsid w:val="001A1D06"/>
    <w:rsid w:val="004378D0"/>
    <w:rsid w:val="00544660"/>
    <w:rsid w:val="00761FFF"/>
    <w:rsid w:val="007E4893"/>
    <w:rsid w:val="00BA782B"/>
    <w:rsid w:val="00C7053C"/>
    <w:rsid w:val="00D042F4"/>
    <w:rsid w:val="00D726DC"/>
    <w:rsid w:val="00E4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F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42F4"/>
    <w:rPr>
      <w:color w:val="0000FF" w:themeColor="hyperlink"/>
      <w:u w:val="single"/>
    </w:rPr>
  </w:style>
  <w:style w:type="paragraph" w:styleId="Header">
    <w:name w:val="header"/>
    <w:basedOn w:val="Normal"/>
    <w:link w:val="HeaderChar"/>
    <w:uiPriority w:val="99"/>
    <w:unhideWhenUsed/>
    <w:rsid w:val="00C7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53C"/>
    <w:rPr>
      <w:rFonts w:eastAsiaTheme="minorEastAsia"/>
    </w:rPr>
  </w:style>
  <w:style w:type="paragraph" w:styleId="Footer">
    <w:name w:val="footer"/>
    <w:basedOn w:val="Normal"/>
    <w:link w:val="FooterChar"/>
    <w:uiPriority w:val="99"/>
    <w:unhideWhenUsed/>
    <w:rsid w:val="00C7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3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F463-55D9-4FA8-BE4F-C110E10E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jakevz</dc:creator>
  <cp:lastModifiedBy>VANDER ZANDEN, Jake</cp:lastModifiedBy>
  <cp:revision>5</cp:revision>
  <dcterms:created xsi:type="dcterms:W3CDTF">2014-08-22T21:06:00Z</dcterms:created>
  <dcterms:modified xsi:type="dcterms:W3CDTF">2014-11-24T03:50:00Z</dcterms:modified>
</cp:coreProperties>
</file>