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2FB" w:rsidRPr="0023180F" w:rsidRDefault="00D432FB" w:rsidP="00D432FB">
      <w:pPr>
        <w:pStyle w:val="Heading1"/>
        <w:rPr>
          <w:rFonts w:ascii="Times New Roman" w:hAnsi="Times New Roman"/>
          <w:caps/>
          <w:lang w:val="en-US"/>
        </w:rPr>
      </w:pPr>
      <w:r w:rsidRPr="00D432FB">
        <w:rPr>
          <w:rStyle w:val="Heading1Char"/>
          <w:rFonts w:ascii="Times New Roman" w:hAnsi="Times New Roman"/>
          <w:b/>
          <w:lang w:val="en-US"/>
        </w:rPr>
        <w:t>Appendix:</w:t>
      </w:r>
      <w:bookmarkStart w:id="0" w:name="_GoBack"/>
      <w:bookmarkEnd w:id="0"/>
      <w:r w:rsidRPr="0023180F">
        <w:rPr>
          <w:rFonts w:ascii="Times New Roman" w:hAnsi="Times New Roman"/>
          <w:lang w:val="en-US"/>
        </w:rPr>
        <w:t xml:space="preserve"> Materials And Methods</w:t>
      </w:r>
    </w:p>
    <w:p w:rsidR="00D432FB" w:rsidRPr="00FB382B" w:rsidRDefault="00D432FB" w:rsidP="00D432FB">
      <w:pPr>
        <w:autoSpaceDE w:val="0"/>
        <w:autoSpaceDN w:val="0"/>
        <w:adjustRightInd w:val="0"/>
        <w:spacing w:line="360" w:lineRule="auto"/>
        <w:jc w:val="both"/>
        <w:rPr>
          <w:rFonts w:ascii="Times New Roman" w:hAnsi="Times New Roman"/>
          <w:bCs/>
          <w:sz w:val="24"/>
          <w:lang w:eastAsia="de-AT"/>
        </w:rPr>
      </w:pPr>
    </w:p>
    <w:p w:rsidR="00D432FB" w:rsidRPr="0054689E" w:rsidRDefault="00D432FB" w:rsidP="00D432FB">
      <w:pPr>
        <w:rPr>
          <w:rFonts w:ascii="Times New Roman" w:hAnsi="Times New Roman"/>
          <w:b/>
          <w:sz w:val="24"/>
          <w:szCs w:val="24"/>
          <w:lang w:eastAsia="de-AT"/>
        </w:rPr>
      </w:pPr>
      <w:r w:rsidRPr="0054689E">
        <w:rPr>
          <w:rFonts w:ascii="Times New Roman" w:hAnsi="Times New Roman"/>
          <w:b/>
          <w:sz w:val="24"/>
          <w:szCs w:val="24"/>
          <w:lang w:eastAsia="de-AT"/>
        </w:rPr>
        <w:t>Determination of Aß Monomers, oligomers and fibrils</w:t>
      </w:r>
    </w:p>
    <w:p w:rsidR="00D432FB" w:rsidRPr="003E79D5" w:rsidRDefault="00D432FB" w:rsidP="00D432FB">
      <w:pPr>
        <w:spacing w:line="360" w:lineRule="auto"/>
        <w:jc w:val="both"/>
        <w:rPr>
          <w:rFonts w:ascii="Times New Roman" w:hAnsi="Times New Roman"/>
          <w:bCs/>
          <w:sz w:val="24"/>
          <w:szCs w:val="24"/>
          <w:lang w:eastAsia="de-AT"/>
        </w:rPr>
      </w:pPr>
      <w:r w:rsidRPr="003E79D5">
        <w:rPr>
          <w:rFonts w:ascii="Times New Roman" w:hAnsi="Times New Roman"/>
          <w:sz w:val="24"/>
          <w:szCs w:val="24"/>
        </w:rPr>
        <w:t xml:space="preserve">In order to analyse the aggregation status of the Aß Monomer, oligomer and fibril preparations ThT Fluorescence analsyis as well as </w:t>
      </w:r>
      <w:r w:rsidRPr="003E79D5">
        <w:rPr>
          <w:rFonts w:ascii="Times New Roman" w:hAnsi="Times New Roman"/>
          <w:bCs/>
          <w:sz w:val="24"/>
          <w:szCs w:val="24"/>
          <w:lang w:eastAsia="de-AT"/>
        </w:rPr>
        <w:t xml:space="preserve">Dot blot and Western blot analysis were done. </w:t>
      </w:r>
    </w:p>
    <w:p w:rsidR="00D432FB" w:rsidRPr="003E79D5" w:rsidRDefault="00D432FB" w:rsidP="00D432FB">
      <w:pPr>
        <w:spacing w:line="360" w:lineRule="auto"/>
        <w:jc w:val="both"/>
        <w:rPr>
          <w:rFonts w:ascii="Times New Roman" w:hAnsi="Times New Roman"/>
          <w:bCs/>
          <w:sz w:val="24"/>
          <w:szCs w:val="24"/>
          <w:lang w:eastAsia="de-AT"/>
        </w:rPr>
      </w:pPr>
      <w:r w:rsidRPr="003E79D5">
        <w:rPr>
          <w:rFonts w:ascii="Times New Roman" w:hAnsi="Times New Roman"/>
          <w:bCs/>
          <w:sz w:val="24"/>
          <w:szCs w:val="24"/>
          <w:lang w:eastAsia="de-AT"/>
        </w:rPr>
        <w:t>For determination of the relative fibril content, a Thioflavin T (ThT; Sigma</w:t>
      </w:r>
      <w:r w:rsidRPr="003E79D5">
        <w:rPr>
          <w:rFonts w:ascii="Cambria Math" w:hAnsi="Cambria Math"/>
          <w:bCs/>
          <w:sz w:val="24"/>
          <w:szCs w:val="24"/>
          <w:lang w:eastAsia="de-AT"/>
        </w:rPr>
        <w:t>‐</w:t>
      </w:r>
      <w:r w:rsidRPr="003E79D5">
        <w:rPr>
          <w:rFonts w:ascii="Times New Roman" w:hAnsi="Times New Roman"/>
          <w:bCs/>
          <w:sz w:val="24"/>
          <w:szCs w:val="24"/>
          <w:lang w:eastAsia="de-AT"/>
        </w:rPr>
        <w:t>Aldrich, USA) fluorescence assay was used. Monomer</w:t>
      </w:r>
      <w:r w:rsidRPr="003E79D5">
        <w:rPr>
          <w:rFonts w:ascii="Cambria Math" w:hAnsi="Cambria Math"/>
          <w:bCs/>
          <w:sz w:val="24"/>
          <w:szCs w:val="24"/>
          <w:lang w:eastAsia="de-AT"/>
        </w:rPr>
        <w:t>‐</w:t>
      </w:r>
      <w:r w:rsidRPr="003E79D5">
        <w:rPr>
          <w:rFonts w:ascii="Times New Roman" w:hAnsi="Times New Roman"/>
          <w:bCs/>
          <w:sz w:val="24"/>
          <w:szCs w:val="24"/>
          <w:lang w:eastAsia="de-AT"/>
        </w:rPr>
        <w:t>, Oligomer</w:t>
      </w:r>
      <w:r w:rsidRPr="003E79D5">
        <w:rPr>
          <w:rFonts w:ascii="Cambria Math" w:hAnsi="Cambria Math"/>
          <w:bCs/>
          <w:sz w:val="24"/>
          <w:szCs w:val="24"/>
          <w:lang w:eastAsia="de-AT"/>
        </w:rPr>
        <w:t>‐</w:t>
      </w:r>
      <w:r w:rsidRPr="003E79D5">
        <w:rPr>
          <w:rFonts w:ascii="Times New Roman" w:hAnsi="Times New Roman"/>
          <w:bCs/>
          <w:sz w:val="24"/>
          <w:szCs w:val="24"/>
          <w:lang w:eastAsia="de-AT"/>
        </w:rPr>
        <w:t xml:space="preserve"> and Fibril preparations (4μM each) were incubated with 10μM ThT on 384</w:t>
      </w:r>
      <w:r w:rsidRPr="003E79D5">
        <w:rPr>
          <w:rFonts w:ascii="Cambria Math" w:hAnsi="Cambria Math"/>
          <w:bCs/>
          <w:sz w:val="24"/>
          <w:szCs w:val="24"/>
          <w:lang w:eastAsia="de-AT"/>
        </w:rPr>
        <w:t>‐</w:t>
      </w:r>
      <w:r w:rsidRPr="003E79D5">
        <w:rPr>
          <w:rFonts w:ascii="Times New Roman" w:hAnsi="Times New Roman"/>
          <w:bCs/>
          <w:sz w:val="24"/>
          <w:szCs w:val="24"/>
          <w:lang w:eastAsia="de-AT"/>
        </w:rPr>
        <w:t>Well Polypropylenplates (Greiner Bio</w:t>
      </w:r>
      <w:r w:rsidRPr="003E79D5">
        <w:rPr>
          <w:rFonts w:ascii="Cambria Math" w:hAnsi="Cambria Math"/>
          <w:bCs/>
          <w:sz w:val="24"/>
          <w:szCs w:val="24"/>
          <w:lang w:eastAsia="de-AT"/>
        </w:rPr>
        <w:t>‐</w:t>
      </w:r>
      <w:r w:rsidRPr="003E79D5">
        <w:rPr>
          <w:rFonts w:ascii="Times New Roman" w:hAnsi="Times New Roman"/>
          <w:bCs/>
          <w:sz w:val="24"/>
          <w:szCs w:val="24"/>
          <w:lang w:eastAsia="de-AT"/>
        </w:rPr>
        <w:t>One, Austria) and the relative fluorescence intensity (relative fluorescence units, RFU; λex = 490 nm; λem = 440 nm) was measured. Determination of RFUs was based on mean values of four independent measurements and background values for ThT fluorescence and buffer were subtracted.</w:t>
      </w:r>
    </w:p>
    <w:p w:rsidR="00D432FB" w:rsidRPr="003E79D5" w:rsidRDefault="00D432FB" w:rsidP="00D432FB">
      <w:pPr>
        <w:spacing w:line="360" w:lineRule="auto"/>
        <w:jc w:val="both"/>
        <w:rPr>
          <w:rFonts w:ascii="Times New Roman" w:hAnsi="Times New Roman"/>
          <w:sz w:val="24"/>
          <w:szCs w:val="24"/>
        </w:rPr>
      </w:pPr>
      <w:r w:rsidRPr="003E79D5">
        <w:rPr>
          <w:rFonts w:ascii="Times New Roman" w:hAnsi="Times New Roman"/>
          <w:bCs/>
          <w:sz w:val="24"/>
          <w:szCs w:val="24"/>
          <w:lang w:eastAsia="de-AT"/>
        </w:rPr>
        <w:t xml:space="preserve">For dot blot analyses, Aβ-monomers, -oligomers and –fibrils were spotted on nitrocellulose membranes (GE Healthcare, UK). </w:t>
      </w:r>
      <w:r w:rsidRPr="003E79D5">
        <w:rPr>
          <w:rFonts w:ascii="Times New Roman" w:hAnsi="Times New Roman"/>
          <w:sz w:val="24"/>
          <w:szCs w:val="24"/>
        </w:rPr>
        <w:t xml:space="preserve">Western Blot analysis of </w:t>
      </w:r>
      <w:r w:rsidRPr="003E79D5">
        <w:rPr>
          <w:rFonts w:ascii="Times New Roman" w:hAnsi="Times New Roman"/>
          <w:bCs/>
          <w:sz w:val="24"/>
          <w:szCs w:val="24"/>
          <w:lang w:eastAsia="de-AT"/>
        </w:rPr>
        <w:t xml:space="preserve">Aβ-monomers, -oligomers and –fibrils </w:t>
      </w:r>
      <w:r w:rsidRPr="003E79D5">
        <w:rPr>
          <w:rFonts w:ascii="Times New Roman" w:hAnsi="Times New Roman"/>
          <w:sz w:val="24"/>
          <w:szCs w:val="24"/>
        </w:rPr>
        <w:t xml:space="preserve">was performed using semi-native </w:t>
      </w:r>
      <w:r w:rsidRPr="003E79D5">
        <w:rPr>
          <w:rFonts w:ascii="Times New Roman" w:eastAsia="Cambria" w:hAnsi="Times New Roman"/>
          <w:sz w:val="24"/>
          <w:szCs w:val="24"/>
          <w:lang w:eastAsia="de-AT"/>
        </w:rPr>
        <w:t xml:space="preserve">4-12% Bis-Tris SDS-PAGE gel electrophoresis </w:t>
      </w:r>
      <w:r w:rsidRPr="003E79D5">
        <w:rPr>
          <w:rFonts w:ascii="Times New Roman" w:hAnsi="Times New Roman"/>
          <w:bCs/>
          <w:sz w:val="24"/>
          <w:szCs w:val="24"/>
          <w:lang w:eastAsia="de-AT"/>
        </w:rPr>
        <w:t xml:space="preserve">(Invitrogen, USA) </w:t>
      </w:r>
      <w:r w:rsidRPr="003E79D5">
        <w:rPr>
          <w:rFonts w:ascii="Times New Roman" w:eastAsia="Cambria" w:hAnsi="Times New Roman"/>
          <w:sz w:val="24"/>
          <w:szCs w:val="24"/>
          <w:lang w:eastAsia="de-AT"/>
        </w:rPr>
        <w:t>and blotting onto polyvinylidene fluoride (PVDF)</w:t>
      </w:r>
      <w:r w:rsidRPr="003E79D5">
        <w:rPr>
          <w:rFonts w:ascii="Times New Roman" w:hAnsi="Times New Roman"/>
          <w:sz w:val="24"/>
          <w:szCs w:val="24"/>
        </w:rPr>
        <w:t xml:space="preserve"> </w:t>
      </w:r>
      <w:r w:rsidRPr="003E79D5">
        <w:rPr>
          <w:rFonts w:ascii="Times New Roman" w:eastAsia="Cambria" w:hAnsi="Times New Roman"/>
          <w:sz w:val="24"/>
          <w:szCs w:val="24"/>
          <w:lang w:eastAsia="de-AT"/>
        </w:rPr>
        <w:t>membranes.</w:t>
      </w:r>
      <w:r w:rsidRPr="003E79D5">
        <w:rPr>
          <w:rFonts w:ascii="Times New Roman" w:hAnsi="Times New Roman"/>
          <w:bCs/>
          <w:sz w:val="24"/>
          <w:szCs w:val="24"/>
          <w:lang w:eastAsia="de-AT"/>
        </w:rPr>
        <w:t xml:space="preserve"> Detection was performed using the non-confomer specific mAb NAB228 and the oligomer specific antibody A11 (Life Technologies) and </w:t>
      </w:r>
      <w:r w:rsidRPr="003E79D5">
        <w:rPr>
          <w:rFonts w:ascii="Times New Roman" w:hAnsi="Times New Roman"/>
          <w:sz w:val="24"/>
          <w:szCs w:val="24"/>
        </w:rPr>
        <w:t>the SuperSignal West Dura kit (Thermo Scientific, USA).</w:t>
      </w:r>
    </w:p>
    <w:p w:rsidR="00D432FB" w:rsidRPr="0054689E" w:rsidRDefault="00D432FB" w:rsidP="00D432FB">
      <w:pPr>
        <w:rPr>
          <w:rFonts w:ascii="Times New Roman" w:hAnsi="Times New Roman"/>
          <w:b/>
          <w:sz w:val="24"/>
          <w:szCs w:val="24"/>
          <w:lang w:eastAsia="de-AT"/>
        </w:rPr>
      </w:pPr>
      <w:r w:rsidRPr="0054689E">
        <w:rPr>
          <w:rFonts w:ascii="Times New Roman" w:hAnsi="Times New Roman"/>
          <w:b/>
          <w:sz w:val="24"/>
          <w:szCs w:val="24"/>
          <w:lang w:eastAsia="de-AT"/>
        </w:rPr>
        <w:t>Determination of reactivity against Aß and APP/sAPPa/APP-eGFP</w:t>
      </w:r>
    </w:p>
    <w:p w:rsidR="00D432FB" w:rsidRPr="003E79D5" w:rsidRDefault="00D432FB" w:rsidP="00D432FB">
      <w:pPr>
        <w:spacing w:line="360" w:lineRule="auto"/>
        <w:jc w:val="both"/>
        <w:rPr>
          <w:rFonts w:ascii="Times New Roman" w:hAnsi="Times New Roman"/>
          <w:sz w:val="24"/>
          <w:szCs w:val="24"/>
        </w:rPr>
      </w:pPr>
      <w:r w:rsidRPr="003E79D5">
        <w:rPr>
          <w:rFonts w:ascii="Times New Roman" w:hAnsi="Times New Roman"/>
          <w:sz w:val="24"/>
          <w:szCs w:val="24"/>
        </w:rPr>
        <w:t xml:space="preserve">The reactivity of AD01- and AD02-induced Abs towards monomeric, dimeric, oligomeric/aggregated Aβ as well as human full length APP/sAPPa and a full length human APP-eGFP fusion protein was assessed by Western blot analysis (please note: APP-eGFP has a higher MW than full length APP due to the ca.30kD eGFP present in the fusion protein). Specificity of AFFITOPE-induced antibodies for aggregated Aß was additionally assessed by Western blot and competition ELISA. </w:t>
      </w:r>
      <w:r w:rsidRPr="003E79D5">
        <w:rPr>
          <w:rFonts w:ascii="Times New Roman" w:hAnsi="Times New Roman"/>
          <w:bCs/>
          <w:sz w:val="24"/>
          <w:szCs w:val="24"/>
          <w:lang w:eastAsia="de-AT"/>
        </w:rPr>
        <w:t xml:space="preserve"> Tg2576 brain- (soluble fraction) and cell extracts of CHO cells stably expressing APP-eGFP were prepared as described in the </w:t>
      </w:r>
      <w:r w:rsidRPr="003E79D5">
        <w:rPr>
          <w:rFonts w:ascii="Times New Roman" w:hAnsi="Times New Roman"/>
          <w:sz w:val="24"/>
          <w:szCs w:val="24"/>
        </w:rPr>
        <w:t>material and methods sections</w:t>
      </w:r>
      <w:r w:rsidRPr="003E79D5">
        <w:rPr>
          <w:rFonts w:ascii="Times New Roman" w:hAnsi="Times New Roman"/>
          <w:bCs/>
          <w:sz w:val="24"/>
          <w:szCs w:val="24"/>
          <w:lang w:eastAsia="de-AT"/>
        </w:rPr>
        <w:t>.</w:t>
      </w:r>
      <w:r w:rsidRPr="003E79D5">
        <w:rPr>
          <w:rFonts w:ascii="Times New Roman" w:hAnsi="Times New Roman"/>
          <w:sz w:val="24"/>
          <w:szCs w:val="24"/>
        </w:rPr>
        <w:t xml:space="preserve"> Western blot analyses were performed as described above with the exception of ECL-Plus which was used as color substrate. Control antibodies used were the specific monoclonal </w:t>
      </w:r>
      <w:r w:rsidRPr="003E79D5">
        <w:rPr>
          <w:rFonts w:ascii="Times New Roman" w:hAnsi="Times New Roman"/>
          <w:sz w:val="24"/>
          <w:szCs w:val="24"/>
        </w:rPr>
        <w:lastRenderedPageBreak/>
        <w:t xml:space="preserve">antibodies 4G8 (Covance, USA, Aß) and 22C11 (APP, Merck, USA). Recombinant aggregated Aß was used at a concentration of 1µg/µl. </w:t>
      </w:r>
    </w:p>
    <w:p w:rsidR="00D432FB" w:rsidRPr="003E79D5" w:rsidRDefault="00D432FB" w:rsidP="00D432FB">
      <w:pPr>
        <w:spacing w:line="360" w:lineRule="auto"/>
        <w:rPr>
          <w:rFonts w:ascii="Times New Roman" w:hAnsi="Times New Roman"/>
          <w:sz w:val="24"/>
          <w:szCs w:val="24"/>
        </w:rPr>
      </w:pPr>
      <w:r w:rsidRPr="003E79D5">
        <w:rPr>
          <w:rFonts w:ascii="Times New Roman" w:hAnsi="Times New Roman"/>
          <w:sz w:val="24"/>
          <w:szCs w:val="24"/>
        </w:rPr>
        <w:t>Competition ELISA was performed as described in the material and methods sections with the exception that aggregated Aß was used for coating and competition. Aggregated Aß concentrations used for coating were 1µM and for competition 0.5µg/ml and 1µg/ml Aß was added to the plasma samples. Plasma samples for competition ELISA were used at a dilution of 1/100.</w:t>
      </w:r>
    </w:p>
    <w:p w:rsidR="00D432FB" w:rsidRPr="0054689E" w:rsidRDefault="00D432FB" w:rsidP="00D432FB">
      <w:pPr>
        <w:rPr>
          <w:rFonts w:ascii="Times New Roman" w:hAnsi="Times New Roman"/>
          <w:b/>
          <w:sz w:val="24"/>
          <w:szCs w:val="24"/>
          <w:lang w:eastAsia="de-AT"/>
        </w:rPr>
      </w:pPr>
      <w:r w:rsidRPr="0054689E">
        <w:rPr>
          <w:rFonts w:ascii="Times New Roman" w:hAnsi="Times New Roman"/>
          <w:b/>
          <w:sz w:val="24"/>
          <w:szCs w:val="24"/>
          <w:lang w:eastAsia="de-AT"/>
        </w:rPr>
        <w:t>Determination of T cell responses: anti CD3 immuno</w:t>
      </w:r>
      <w:r>
        <w:rPr>
          <w:rFonts w:ascii="Times New Roman" w:hAnsi="Times New Roman"/>
          <w:b/>
          <w:sz w:val="24"/>
          <w:szCs w:val="24"/>
          <w:lang w:eastAsia="de-AT"/>
        </w:rPr>
        <w:t>-</w:t>
      </w:r>
      <w:r w:rsidRPr="0054689E">
        <w:rPr>
          <w:rFonts w:ascii="Times New Roman" w:hAnsi="Times New Roman"/>
          <w:b/>
          <w:sz w:val="24"/>
          <w:szCs w:val="24"/>
          <w:lang w:eastAsia="de-AT"/>
        </w:rPr>
        <w:t>histochemistry</w:t>
      </w:r>
    </w:p>
    <w:p w:rsidR="00D432FB" w:rsidRPr="003E79D5" w:rsidRDefault="00D432FB" w:rsidP="00D432FB">
      <w:pPr>
        <w:spacing w:line="360" w:lineRule="auto"/>
        <w:jc w:val="both"/>
        <w:rPr>
          <w:rFonts w:ascii="Times New Roman" w:hAnsi="Times New Roman"/>
          <w:sz w:val="24"/>
          <w:szCs w:val="24"/>
        </w:rPr>
      </w:pPr>
      <w:r w:rsidRPr="003E79D5">
        <w:rPr>
          <w:rFonts w:ascii="Times New Roman" w:hAnsi="Times New Roman"/>
          <w:sz w:val="24"/>
          <w:szCs w:val="24"/>
        </w:rPr>
        <w:t xml:space="preserve">Tg2576 mice were immunized </w:t>
      </w:r>
      <w:r w:rsidRPr="003E79D5">
        <w:rPr>
          <w:rFonts w:ascii="Times New Roman" w:hAnsi="Times New Roman"/>
          <w:bCs/>
          <w:sz w:val="24"/>
          <w:szCs w:val="24"/>
          <w:lang w:eastAsia="de-AT"/>
        </w:rPr>
        <w:t xml:space="preserve">s.c. 6 times in monthly </w:t>
      </w:r>
      <w:r w:rsidRPr="003E79D5">
        <w:rPr>
          <w:rFonts w:ascii="Times New Roman" w:hAnsi="Times New Roman"/>
          <w:sz w:val="24"/>
          <w:szCs w:val="24"/>
        </w:rPr>
        <w:t xml:space="preserve">and sacrificed at 14 months of age, </w:t>
      </w:r>
      <w:r w:rsidRPr="003E79D5">
        <w:rPr>
          <w:rFonts w:ascii="Times New Roman" w:hAnsi="Times New Roman"/>
          <w:bCs/>
          <w:sz w:val="24"/>
          <w:szCs w:val="24"/>
          <w:lang w:eastAsia="de-AT"/>
        </w:rPr>
        <w:t>brains were collected and hemispheres separated. One hemisphere was fixed in 4% Paraformaldehyde (PFA,Sigma Aldrich, USA), dehydrated and paraffin-embedded. Brain tissue was sectioned at 7μM using a sliding microtome (Leitz, Germany) and sections were mounted on Superfrost Plus Slides (Menzel, Germany).</w:t>
      </w:r>
      <w:r w:rsidRPr="003E79D5">
        <w:rPr>
          <w:rFonts w:ascii="Times New Roman" w:hAnsi="Times New Roman"/>
          <w:sz w:val="24"/>
          <w:szCs w:val="24"/>
        </w:rPr>
        <w:t xml:space="preserve"> </w:t>
      </w:r>
      <w:r w:rsidRPr="003E79D5">
        <w:rPr>
          <w:rFonts w:ascii="Times New Roman" w:hAnsi="Times New Roman"/>
          <w:sz w:val="24"/>
          <w:szCs w:val="24"/>
          <w:lang w:eastAsia="de-AT"/>
        </w:rPr>
        <w:t xml:space="preserve">For </w:t>
      </w:r>
      <w:r w:rsidRPr="003E79D5">
        <w:rPr>
          <w:rFonts w:ascii="Times New Roman" w:hAnsi="Times New Roman"/>
          <w:bCs/>
          <w:sz w:val="24"/>
          <w:szCs w:val="24"/>
          <w:lang w:eastAsia="de-AT"/>
        </w:rPr>
        <w:t xml:space="preserve">CD3-specific staining, brain sections of immunized Tg2576 were processed for analysis using hamster mAb CD3 epsilon antibody 145-2C11 (Abcam). </w:t>
      </w:r>
      <w:r w:rsidRPr="003E79D5">
        <w:rPr>
          <w:rFonts w:ascii="Times New Roman" w:hAnsi="Times New Roman"/>
          <w:sz w:val="24"/>
          <w:szCs w:val="24"/>
          <w:lang w:eastAsia="de-AT"/>
        </w:rPr>
        <w:t>All secondary reagents used were obtained from Vector Labs (USA). For CD3 analysis, color reactions were performed using DAB-substrate Kit.</w:t>
      </w:r>
    </w:p>
    <w:p w:rsidR="00CD098A" w:rsidRDefault="00CD098A"/>
    <w:sectPr w:rsidR="00CD09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2FB"/>
    <w:rsid w:val="000B3F05"/>
    <w:rsid w:val="00CD098A"/>
    <w:rsid w:val="00D432FB"/>
    <w:rsid w:val="00F959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432FB"/>
    <w:pPr>
      <w:keepNext/>
      <w:spacing w:before="240" w:after="60"/>
      <w:outlineLvl w:val="0"/>
    </w:pPr>
    <w:rPr>
      <w:rFonts w:ascii="Cambria" w:eastAsia="Times New Roman" w:hAnsi="Cambria" w:cs="Times New Roman"/>
      <w:b/>
      <w:bCs/>
      <w:kern w:val="32"/>
      <w:sz w:val="32"/>
      <w:szCs w:val="32"/>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32FB"/>
    <w:rPr>
      <w:rFonts w:ascii="Cambria" w:eastAsia="Times New Roman" w:hAnsi="Cambria" w:cs="Times New Roman"/>
      <w:b/>
      <w:bCs/>
      <w:kern w:val="32"/>
      <w:sz w:val="32"/>
      <w:szCs w:val="32"/>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432FB"/>
    <w:pPr>
      <w:keepNext/>
      <w:spacing w:before="240" w:after="60"/>
      <w:outlineLvl w:val="0"/>
    </w:pPr>
    <w:rPr>
      <w:rFonts w:ascii="Cambria" w:eastAsia="Times New Roman" w:hAnsi="Cambria" w:cs="Times New Roman"/>
      <w:b/>
      <w:bCs/>
      <w:kern w:val="32"/>
      <w:sz w:val="32"/>
      <w:szCs w:val="32"/>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32FB"/>
    <w:rPr>
      <w:rFonts w:ascii="Cambria" w:eastAsia="Times New Roman" w:hAnsi="Cambria" w:cs="Times New Roman"/>
      <w:b/>
      <w:bCs/>
      <w:kern w:val="32"/>
      <w:sz w:val="32"/>
      <w:szCs w:val="32"/>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509</Words>
  <Characters>2903</Characters>
  <Application>Microsoft Office Word</Application>
  <DocSecurity>0</DocSecurity>
  <Lines>24</Lines>
  <Paragraphs>6</Paragraphs>
  <ScaleCrop>false</ScaleCrop>
  <Company/>
  <LinksUpToDate>false</LinksUpToDate>
  <CharactersWithSpaces>3406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dc:creator>
  <cp:lastModifiedBy>kor</cp:lastModifiedBy>
  <cp:revision>1</cp:revision>
  <dcterms:created xsi:type="dcterms:W3CDTF">2014-12-18T06:50:00Z</dcterms:created>
  <dcterms:modified xsi:type="dcterms:W3CDTF">2014-12-18T06:50:00Z</dcterms:modified>
</cp:coreProperties>
</file>