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FDA82" w14:textId="77777777" w:rsidR="00B02684" w:rsidRPr="00411716" w:rsidRDefault="00B02684" w:rsidP="00111A9E">
      <w:pPr>
        <w:pStyle w:val="Heading1"/>
        <w:spacing w:line="360" w:lineRule="auto"/>
        <w:rPr>
          <w:bCs/>
          <w:smallCaps/>
          <w:color w:val="1F497D" w:themeColor="text2"/>
          <w:sz w:val="28"/>
          <w:szCs w:val="28"/>
          <w:lang w:val="en-US"/>
        </w:rPr>
      </w:pPr>
      <w:r w:rsidRPr="00411716">
        <w:rPr>
          <w:bCs/>
          <w:smallCaps/>
          <w:color w:val="1F497D" w:themeColor="text2"/>
          <w:sz w:val="28"/>
          <w:szCs w:val="28"/>
          <w:lang w:val="en-US"/>
        </w:rPr>
        <w:t>Supplementary materials</w:t>
      </w:r>
      <w:r>
        <w:rPr>
          <w:bCs/>
          <w:smallCaps/>
          <w:color w:val="1F497D" w:themeColor="text2"/>
          <w:sz w:val="28"/>
          <w:szCs w:val="28"/>
          <w:lang w:val="en-US"/>
        </w:rPr>
        <w:t>:</w:t>
      </w:r>
    </w:p>
    <w:p w14:paraId="15E9AC1A" w14:textId="77777777" w:rsidR="00B02684" w:rsidRDefault="00B02684" w:rsidP="00111A9E">
      <w:pPr>
        <w:spacing w:line="360" w:lineRule="auto"/>
        <w:rPr>
          <w:lang w:val="en-US"/>
        </w:rPr>
      </w:pPr>
      <w:r>
        <w:rPr>
          <w:lang w:val="en-US"/>
        </w:rPr>
        <w:t>Figures S1-S9</w:t>
      </w:r>
    </w:p>
    <w:p w14:paraId="407C0F14" w14:textId="77777777" w:rsidR="00B02684" w:rsidRDefault="00B02684" w:rsidP="00111A9E">
      <w:pPr>
        <w:spacing w:line="360" w:lineRule="auto"/>
        <w:rPr>
          <w:lang w:val="en-US"/>
        </w:rPr>
      </w:pPr>
      <w:r>
        <w:rPr>
          <w:lang w:val="en-US"/>
        </w:rPr>
        <w:t>Tables S1-S4</w:t>
      </w:r>
    </w:p>
    <w:p w14:paraId="7637C5B1" w14:textId="0B002E8C" w:rsidR="00B02684" w:rsidRPr="00D96AB2" w:rsidRDefault="00B02684" w:rsidP="00D96AB2">
      <w:pPr>
        <w:spacing w:line="360" w:lineRule="auto"/>
        <w:rPr>
          <w:lang w:val="en-US"/>
        </w:rPr>
      </w:pPr>
      <w:r>
        <w:rPr>
          <w:lang w:val="en-US"/>
        </w:rPr>
        <w:t>Supplementary notes</w:t>
      </w:r>
    </w:p>
    <w:p w14:paraId="54A81148" w14:textId="77777777" w:rsidR="00B02684" w:rsidRDefault="00B02684" w:rsidP="00111A9E">
      <w:pPr>
        <w:spacing w:line="360" w:lineRule="auto"/>
        <w:rPr>
          <w:b/>
          <w:lang w:val="en-US"/>
        </w:rPr>
      </w:pPr>
      <w:r>
        <w:rPr>
          <w:lang w:val="en-US"/>
        </w:rPr>
        <w:br w:type="page"/>
      </w:r>
    </w:p>
    <w:p w14:paraId="4EABEC45" w14:textId="77777777" w:rsidR="00B02684" w:rsidRDefault="00B02684" w:rsidP="00111A9E">
      <w:pPr>
        <w:spacing w:line="360" w:lineRule="auto"/>
        <w:jc w:val="center"/>
        <w:rPr>
          <w:b/>
          <w:lang w:val="en-US"/>
        </w:rPr>
      </w:pPr>
      <w:r>
        <w:rPr>
          <w:b/>
          <w:noProof/>
          <w:lang w:val="en-US"/>
        </w:rPr>
        <w:lastRenderedPageBreak/>
        <w:drawing>
          <wp:inline distT="0" distB="0" distL="0" distR="0" wp14:anchorId="26A723B3" wp14:editId="751156D3">
            <wp:extent cx="4267248" cy="581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n.survey.pdf"/>
                    <pic:cNvPicPr/>
                  </pic:nvPicPr>
                  <pic:blipFill>
                    <a:blip r:embed="rId5">
                      <a:extLst>
                        <a:ext uri="{28A0092B-C50C-407E-A947-70E740481C1C}">
                          <a14:useLocalDpi xmlns:a14="http://schemas.microsoft.com/office/drawing/2010/main" val="0"/>
                        </a:ext>
                      </a:extLst>
                    </a:blip>
                    <a:stretch>
                      <a:fillRect/>
                    </a:stretch>
                  </pic:blipFill>
                  <pic:spPr>
                    <a:xfrm>
                      <a:off x="0" y="0"/>
                      <a:ext cx="4267248" cy="5819140"/>
                    </a:xfrm>
                    <a:prstGeom prst="rect">
                      <a:avLst/>
                    </a:prstGeom>
                  </pic:spPr>
                </pic:pic>
              </a:graphicData>
            </a:graphic>
          </wp:inline>
        </w:drawing>
      </w:r>
    </w:p>
    <w:p w14:paraId="3493E93C" w14:textId="77777777" w:rsidR="00B02684" w:rsidRDefault="00B02684" w:rsidP="00111A9E">
      <w:pPr>
        <w:spacing w:line="360" w:lineRule="auto"/>
        <w:rPr>
          <w:lang w:val="en-US"/>
        </w:rPr>
      </w:pPr>
      <w:r w:rsidRPr="00411716">
        <w:rPr>
          <w:b/>
          <w:lang w:val="en-US"/>
        </w:rPr>
        <w:t>Fig. S1:</w:t>
      </w:r>
      <w:r>
        <w:rPr>
          <w:lang w:val="en-US"/>
        </w:rPr>
        <w:t xml:space="preserve"> </w:t>
      </w:r>
      <w:r w:rsidRPr="00F67970">
        <w:rPr>
          <w:lang w:val="en-US"/>
        </w:rPr>
        <w:t xml:space="preserve">Survey of effects of orally-administered olanzapine (OLZ) on eight inbred mouse strains. </w:t>
      </w:r>
      <w:r w:rsidRPr="00F67970">
        <w:rPr>
          <w:b/>
          <w:lang w:val="en-US"/>
        </w:rPr>
        <w:t>(A)</w:t>
      </w:r>
      <w:r w:rsidRPr="00F67970">
        <w:rPr>
          <w:lang w:val="en-US"/>
        </w:rPr>
        <w:t xml:space="preserve"> Weight gain during 80 days of OLZ treatment versus placebo in female mice from eight inbred laboratory strains (</w:t>
      </w:r>
      <w:r w:rsidRPr="00F67970">
        <w:rPr>
          <w:i/>
          <w:lang w:val="en-US"/>
        </w:rPr>
        <w:t>n</w:t>
      </w:r>
      <w:r w:rsidRPr="00F67970">
        <w:rPr>
          <w:lang w:val="en-US"/>
        </w:rPr>
        <w:t xml:space="preserve"> = 4 OLZ-treated and 4 placebo-treated mice per panel). OLZ was compounded into mouse feed at 50 mg/kg, and all mice were fed a high-fat diet </w:t>
      </w:r>
      <w:r w:rsidRPr="00F67970">
        <w:rPr>
          <w:i/>
          <w:lang w:val="en-US"/>
        </w:rPr>
        <w:t>ad libitum</w:t>
      </w:r>
      <w:r w:rsidRPr="00F67970">
        <w:rPr>
          <w:lang w:val="en-US"/>
        </w:rPr>
        <w:t xml:space="preserve">. </w:t>
      </w:r>
      <w:r w:rsidRPr="00F67970">
        <w:rPr>
          <w:b/>
          <w:lang w:val="en-US"/>
        </w:rPr>
        <w:t>(B)</w:t>
      </w:r>
      <w:r w:rsidRPr="00F67970">
        <w:rPr>
          <w:lang w:val="en-US"/>
        </w:rPr>
        <w:t xml:space="preserve"> Plasma OLZ levels after 18 weeks of treatment, by strain.</w:t>
      </w:r>
    </w:p>
    <w:p w14:paraId="2967784B" w14:textId="77777777" w:rsidR="00B02684" w:rsidRDefault="00B02684" w:rsidP="00111A9E">
      <w:pPr>
        <w:spacing w:after="0" w:line="360" w:lineRule="auto"/>
        <w:rPr>
          <w:lang w:val="en-US"/>
        </w:rPr>
      </w:pPr>
      <w:r>
        <w:rPr>
          <w:lang w:val="en-US"/>
        </w:rPr>
        <w:br w:type="page"/>
      </w:r>
    </w:p>
    <w:p w14:paraId="017E9264" w14:textId="77777777" w:rsidR="00B02684" w:rsidRPr="00F67970" w:rsidRDefault="00B02684" w:rsidP="00111A9E">
      <w:pPr>
        <w:spacing w:line="360" w:lineRule="auto"/>
        <w:rPr>
          <w:lang w:val="en-US"/>
        </w:rPr>
      </w:pPr>
    </w:p>
    <w:p w14:paraId="6FC2C231" w14:textId="77777777" w:rsidR="00B02684" w:rsidRDefault="00B02684" w:rsidP="00111A9E">
      <w:pPr>
        <w:spacing w:before="200" w:line="360" w:lineRule="auto"/>
        <w:jc w:val="center"/>
        <w:rPr>
          <w:b/>
          <w:lang w:val="en-US"/>
        </w:rPr>
      </w:pPr>
      <w:r>
        <w:rPr>
          <w:b/>
          <w:noProof/>
          <w:lang w:val="en-US"/>
        </w:rPr>
        <w:drawing>
          <wp:inline distT="0" distB="0" distL="0" distR="0" wp14:anchorId="353CE3D3" wp14:editId="7BFCE333">
            <wp:extent cx="3429000" cy="3918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ng.pdf"/>
                    <pic:cNvPicPr/>
                  </pic:nvPicPr>
                  <pic:blipFill>
                    <a:blip r:embed="rId6">
                      <a:extLst>
                        <a:ext uri="{28A0092B-C50C-407E-A947-70E740481C1C}">
                          <a14:useLocalDpi xmlns:a14="http://schemas.microsoft.com/office/drawing/2010/main" val="0"/>
                        </a:ext>
                      </a:extLst>
                    </a:blip>
                    <a:stretch>
                      <a:fillRect/>
                    </a:stretch>
                  </pic:blipFill>
                  <pic:spPr>
                    <a:xfrm>
                      <a:off x="0" y="0"/>
                      <a:ext cx="3429506" cy="3919383"/>
                    </a:xfrm>
                    <a:prstGeom prst="rect">
                      <a:avLst/>
                    </a:prstGeom>
                  </pic:spPr>
                </pic:pic>
              </a:graphicData>
            </a:graphic>
          </wp:inline>
        </w:drawing>
      </w:r>
    </w:p>
    <w:p w14:paraId="1DA0D707" w14:textId="22330AE5" w:rsidR="00B02684" w:rsidRDefault="00B02684" w:rsidP="00111A9E">
      <w:pPr>
        <w:spacing w:before="200" w:line="360" w:lineRule="auto"/>
        <w:rPr>
          <w:lang w:val="en-US"/>
        </w:rPr>
      </w:pPr>
      <w:r w:rsidRPr="00411716">
        <w:rPr>
          <w:b/>
          <w:lang w:val="en-US"/>
        </w:rPr>
        <w:t>Fig. S</w:t>
      </w:r>
      <w:r>
        <w:rPr>
          <w:b/>
          <w:lang w:val="en-US"/>
        </w:rPr>
        <w:t>2</w:t>
      </w:r>
      <w:r w:rsidRPr="00411716">
        <w:rPr>
          <w:b/>
          <w:lang w:val="en-US"/>
        </w:rPr>
        <w:t>:</w:t>
      </w:r>
      <w:r>
        <w:rPr>
          <w:lang w:val="en-US"/>
        </w:rPr>
        <w:t xml:space="preserve"> Dose titration</w:t>
      </w:r>
      <w:r w:rsidRPr="00F67970">
        <w:rPr>
          <w:lang w:val="en-US"/>
        </w:rPr>
        <w:t xml:space="preserve"> for oral administration of olanzapine in female C57BL/6J mice. </w:t>
      </w:r>
      <w:r w:rsidRPr="00F67970">
        <w:rPr>
          <w:b/>
          <w:lang w:val="en-US"/>
        </w:rPr>
        <w:t>(A)</w:t>
      </w:r>
      <w:r w:rsidRPr="00F67970">
        <w:rPr>
          <w:lang w:val="en-US"/>
        </w:rPr>
        <w:t xml:space="preserve"> Plasma olanzapine (OLZ) concentration measured by LC-MS/MS </w:t>
      </w:r>
      <w:r w:rsidRPr="00F67970">
        <w:rPr>
          <w:lang w:val="en-US"/>
        </w:rPr>
        <w:fldChar w:fldCharType="begin" w:fldLock="1"/>
      </w:r>
      <w:r>
        <w:rPr>
          <w:lang w:val="en-US"/>
        </w:rPr>
        <w:instrText>ADDIN CSL_CITATION { "citationItems" : [ { "id" : "ITEM-1", "itemData" : { "DOI" : "10.1016/j.jchromb.2007.08.007", "ISSN" : "1570-0232", "PMID" : "17766202", "abstract" : "One prerequisite for therapeutic effects of psychiatric drugs is the ability to pass the blood brain barrier. Hence, it is important to know the concentration of antipsychotic drugs in brain tissue. In general, determinations of lipophilic compounds from lipophilic matricies such as the brain are a challenge. Here we have adapted a plasma assay for antipsychotics for the target organ the brain. Using modified sample preparation and chromatographic strategies, the analytes were extracted from rat brain homogenate and analyzed by LC-MS/MS. The method used a Waters Atlantis dC-18 (30 mm x 2.1 mm i.d., 3 microm) column with a mobile phase of acetonitrile/5 mM ammonium formate (pH 6.1 adjusted with formic acid) and gradient elution. All analytes were detected in positive ion mode using multiple-reaction monitoring. The method was validated and the linearity, lower limit of quantitation, precision, accuracy, recoveries, specificity and stability were determined. This method was then successfully used to quantify the rat brain tissue concentration of the analytes after chronic treatment with these antipsychotic drugs.", "author" : [ { "dropping-particle" : "", "family" : "Zhang", "given" : "Guodong", "non-dropping-particle" : "", "parse-names" : false, "suffix" : "" }, { "dropping-particle" : "V", "family" : "Terry", "given" : "Alvin", "non-dropping-particle" : "", "parse-names" : false, "suffix" : "" }, { "dropping-particle" : "", "family" : "Bartlett", "given" : "Michael G", "non-dropping-particle" : "", "parse-names" : false, "suffix" : "" } ], "container-title" : "J Chromatogr B Analyt Technol Biomed Life Sci", "id" : "ITEM-1", "issue" : "1-2", "issued" : { "date-parts" : [ [ "2007", "10", "15" ] ] }, "page" : "276-81", "title" : "Sensitive liquid chromatography/tandem mass spectrometry method for the simultaneous determination of olanzapine, risperidone, 9-hydroxyrisperidone, clozapine, haloperidol and ziprasidone in rat brain tissue.", "type" : "article-journal", "volume" : "858" }, "uris" : [ "http://www.mendeley.com/documents/?uuid=23937a56-0bea-4d6b-a89e-5b1a41e12125" ] } ], "mendeley" : { "previouslyFormattedCitation" : "(&lt;i&gt;49&lt;/i&gt;)" }, "properties" : { "noteIndex" : 0 }, "schema" : "https://github.com/citation-style-language/schema/raw/master/csl-citation.json" }</w:instrText>
      </w:r>
      <w:r w:rsidRPr="00F67970">
        <w:rPr>
          <w:lang w:val="en-US"/>
        </w:rPr>
        <w:fldChar w:fldCharType="separate"/>
      </w:r>
      <w:r w:rsidRPr="00D516CE">
        <w:rPr>
          <w:noProof/>
          <w:lang w:val="en-US"/>
        </w:rPr>
        <w:t>(</w:t>
      </w:r>
      <w:r w:rsidRPr="00D516CE">
        <w:rPr>
          <w:i/>
          <w:noProof/>
          <w:lang w:val="en-US"/>
        </w:rPr>
        <w:t>49</w:t>
      </w:r>
      <w:r w:rsidRPr="00D516CE">
        <w:rPr>
          <w:noProof/>
          <w:lang w:val="en-US"/>
        </w:rPr>
        <w:t>)</w:t>
      </w:r>
      <w:r w:rsidRPr="00F67970">
        <w:rPr>
          <w:lang w:val="en-US"/>
        </w:rPr>
        <w:fldChar w:fldCharType="end"/>
      </w:r>
      <w:r w:rsidRPr="00F67970">
        <w:rPr>
          <w:lang w:val="en-US"/>
        </w:rPr>
        <w:t xml:space="preserve"> </w:t>
      </w:r>
      <w:r w:rsidRPr="00F67970">
        <w:rPr>
          <w:i/>
          <w:lang w:val="en-US"/>
        </w:rPr>
        <w:t>vs.</w:t>
      </w:r>
      <w:r w:rsidRPr="00F67970">
        <w:rPr>
          <w:lang w:val="en-US"/>
        </w:rPr>
        <w:t xml:space="preserve"> concentration in mouse food (</w:t>
      </w:r>
      <w:r w:rsidRPr="00F67970">
        <w:rPr>
          <w:i/>
          <w:lang w:val="en-US"/>
        </w:rPr>
        <w:t>n</w:t>
      </w:r>
      <w:r w:rsidRPr="00F67970">
        <w:rPr>
          <w:lang w:val="en-US"/>
        </w:rPr>
        <w:t xml:space="preserve"> = 5 subjects). Grey shaded region indicates target dose in human patients. </w:t>
      </w:r>
      <w:r w:rsidRPr="00F67970">
        <w:rPr>
          <w:b/>
          <w:lang w:val="en-US"/>
        </w:rPr>
        <w:t>(B)</w:t>
      </w:r>
      <w:r w:rsidRPr="00F67970">
        <w:rPr>
          <w:lang w:val="en-US"/>
        </w:rPr>
        <w:t xml:space="preserve"> Dose-response relationship for OLZ and two metabolic parameters, body weight (in grams) and adiposity (fat mass as percentage of total body weight). Points indicate rate of increase per day in each metabolic parameter, estimated by ordinary least-squares regression. Vertical bars represent 95% confidence intervals</w:t>
      </w:r>
      <w:r w:rsidR="00230C12">
        <w:rPr>
          <w:lang w:val="en-US"/>
        </w:rPr>
        <w:t xml:space="preserve"> (obtained by likelihood profiling)</w:t>
      </w:r>
      <w:r w:rsidRPr="00F67970">
        <w:rPr>
          <w:lang w:val="en-US"/>
        </w:rPr>
        <w:t xml:space="preserve"> for the d</w:t>
      </w:r>
      <w:r w:rsidR="00230C12">
        <w:rPr>
          <w:lang w:val="en-US"/>
        </w:rPr>
        <w:t>rug-effect estimates</w:t>
      </w:r>
      <w:r w:rsidRPr="00F67970">
        <w:rPr>
          <w:lang w:val="en-US"/>
        </w:rPr>
        <w:t>.</w:t>
      </w:r>
    </w:p>
    <w:p w14:paraId="3E65E4E9" w14:textId="77777777" w:rsidR="00B02684" w:rsidRDefault="00B02684" w:rsidP="00111A9E">
      <w:pPr>
        <w:spacing w:after="0" w:line="360" w:lineRule="auto"/>
        <w:rPr>
          <w:lang w:val="en-US"/>
        </w:rPr>
      </w:pPr>
      <w:r>
        <w:rPr>
          <w:lang w:val="en-US"/>
        </w:rPr>
        <w:br w:type="page"/>
      </w:r>
    </w:p>
    <w:p w14:paraId="660B8F6A" w14:textId="77777777" w:rsidR="00B02684" w:rsidRDefault="00B02684" w:rsidP="00111A9E">
      <w:pPr>
        <w:spacing w:before="200" w:line="360" w:lineRule="auto"/>
        <w:rPr>
          <w:lang w:val="en-US"/>
        </w:rPr>
      </w:pPr>
    </w:p>
    <w:p w14:paraId="6489CE5E" w14:textId="77777777" w:rsidR="00B02684" w:rsidRDefault="00B02684" w:rsidP="00111A9E">
      <w:pPr>
        <w:spacing w:before="200" w:line="360" w:lineRule="auto"/>
        <w:jc w:val="center"/>
        <w:rPr>
          <w:b/>
          <w:lang w:val="en-US"/>
        </w:rPr>
      </w:pPr>
      <w:r>
        <w:rPr>
          <w:b/>
          <w:noProof/>
          <w:lang w:val="en-US"/>
        </w:rPr>
        <w:drawing>
          <wp:inline distT="0" distB="0" distL="0" distR="0" wp14:anchorId="2FA51BA8" wp14:editId="6C22C6E2">
            <wp:extent cx="48006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ver.weight.pdf"/>
                    <pic:cNvPicPr/>
                  </pic:nvPicPr>
                  <pic:blipFill>
                    <a:blip r:embed="rId7">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inline>
        </w:drawing>
      </w:r>
    </w:p>
    <w:p w14:paraId="15BEC577" w14:textId="77777777" w:rsidR="00B02684" w:rsidRDefault="00B02684" w:rsidP="00111A9E">
      <w:pPr>
        <w:spacing w:before="200" w:line="360" w:lineRule="auto"/>
        <w:rPr>
          <w:lang w:val="en-US"/>
        </w:rPr>
      </w:pPr>
      <w:r w:rsidRPr="00411716">
        <w:rPr>
          <w:b/>
          <w:lang w:val="en-US"/>
        </w:rPr>
        <w:t>Fig. S</w:t>
      </w:r>
      <w:r>
        <w:rPr>
          <w:b/>
          <w:lang w:val="en-US"/>
        </w:rPr>
        <w:t>3</w:t>
      </w:r>
      <w:r w:rsidRPr="00411716">
        <w:rPr>
          <w:b/>
          <w:lang w:val="en-US"/>
        </w:rPr>
        <w:t>:</w:t>
      </w:r>
      <w:r>
        <w:rPr>
          <w:lang w:val="en-US"/>
        </w:rPr>
        <w:t xml:space="preserve"> </w:t>
      </w:r>
      <w:r w:rsidRPr="00411716">
        <w:rPr>
          <w:lang w:val="en-US"/>
        </w:rPr>
        <w:t xml:space="preserve">Effects of olanzapine (OLZ) treatment on weight gain and adiposity. </w:t>
      </w:r>
      <w:r w:rsidRPr="00411716">
        <w:rPr>
          <w:b/>
          <w:lang w:val="en-US"/>
        </w:rPr>
        <w:t>(A)</w:t>
      </w:r>
      <w:r w:rsidRPr="00411716">
        <w:rPr>
          <w:lang w:val="en-US"/>
        </w:rPr>
        <w:t xml:space="preserve"> Weight gain over 9 weeks in female C57BL/6J mice fed a high-fat diet (HFD) </w:t>
      </w:r>
      <w:r w:rsidRPr="00411716">
        <w:rPr>
          <w:i/>
          <w:lang w:val="en-US"/>
        </w:rPr>
        <w:t>ad libitum</w:t>
      </w:r>
      <w:r w:rsidRPr="00411716">
        <w:rPr>
          <w:lang w:val="en-US"/>
        </w:rPr>
        <w:t>. Each line represents a single mouse (</w:t>
      </w:r>
      <w:r w:rsidRPr="00411716">
        <w:rPr>
          <w:i/>
          <w:lang w:val="en-US"/>
        </w:rPr>
        <w:t>n</w:t>
      </w:r>
      <w:r w:rsidRPr="00411716">
        <w:rPr>
          <w:lang w:val="en-US"/>
        </w:rPr>
        <w:t xml:space="preserve"> = 24 subjects); mice were 6 weeks of age at initiation of HFD. Grey shaded intervals indicate period of OLZ treatment. </w:t>
      </w:r>
      <w:r w:rsidRPr="00411716">
        <w:rPr>
          <w:b/>
          <w:lang w:val="en-US"/>
        </w:rPr>
        <w:t>(B)</w:t>
      </w:r>
      <w:r w:rsidRPr="00411716">
        <w:rPr>
          <w:lang w:val="en-US"/>
        </w:rPr>
        <w:t xml:space="preserve"> Adiposity (percent body fat) during HFD-OLZ versus HFD-placebo phase at matched time points (</w:t>
      </w:r>
      <w:r w:rsidRPr="00411716">
        <w:rPr>
          <w:i/>
          <w:lang w:val="en-US"/>
        </w:rPr>
        <w:t>n</w:t>
      </w:r>
      <w:r w:rsidRPr="00411716">
        <w:rPr>
          <w:lang w:val="en-US"/>
        </w:rPr>
        <w:t xml:space="preserve"> = 48 or 2 observations × 24 subjects). </w:t>
      </w:r>
      <w:r w:rsidRPr="00411716">
        <w:rPr>
          <w:b/>
          <w:lang w:val="en-US"/>
        </w:rPr>
        <w:t>(C)</w:t>
      </w:r>
      <w:r w:rsidRPr="00411716">
        <w:rPr>
          <w:lang w:val="en-US"/>
        </w:rPr>
        <w:t xml:space="preserve"> Adiposity (percent body fat) versus body weight during HFD-placebo (open circles) or HFD-OLZ (filled circles) phase. Pearson’s r = 0.819 (95% CI 0.697-0.895) on </w:t>
      </w:r>
      <w:r w:rsidRPr="00411716">
        <w:rPr>
          <w:i/>
          <w:lang w:val="en-US"/>
        </w:rPr>
        <w:t>n</w:t>
      </w:r>
      <w:r w:rsidRPr="00411716">
        <w:rPr>
          <w:lang w:val="en-US"/>
        </w:rPr>
        <w:t xml:space="preserve"> = 72 (3 observations × 24 subjects).</w:t>
      </w:r>
    </w:p>
    <w:p w14:paraId="52AA2D7D" w14:textId="77777777" w:rsidR="00B02684" w:rsidRDefault="00B02684" w:rsidP="00111A9E">
      <w:pPr>
        <w:spacing w:after="0" w:line="360" w:lineRule="auto"/>
        <w:rPr>
          <w:lang w:val="en-US"/>
        </w:rPr>
      </w:pPr>
      <w:r>
        <w:rPr>
          <w:lang w:val="en-US"/>
        </w:rPr>
        <w:br w:type="page"/>
      </w:r>
    </w:p>
    <w:p w14:paraId="659FE448" w14:textId="77777777" w:rsidR="00B02684" w:rsidRPr="00411716" w:rsidRDefault="00B02684" w:rsidP="00111A9E">
      <w:pPr>
        <w:spacing w:before="200" w:line="360" w:lineRule="auto"/>
        <w:rPr>
          <w:lang w:val="en-US"/>
        </w:rPr>
      </w:pPr>
    </w:p>
    <w:p w14:paraId="4205901F" w14:textId="77777777" w:rsidR="00B02684" w:rsidRDefault="00B02684" w:rsidP="00111A9E">
      <w:pPr>
        <w:spacing w:before="200" w:line="360" w:lineRule="auto"/>
        <w:jc w:val="center"/>
        <w:rPr>
          <w:b/>
          <w:lang w:val="en-US"/>
        </w:rPr>
      </w:pPr>
      <w:r>
        <w:rPr>
          <w:b/>
          <w:noProof/>
          <w:lang w:val="en-US"/>
        </w:rPr>
        <w:drawing>
          <wp:inline distT="0" distB="0" distL="0" distR="0" wp14:anchorId="0D34B78D" wp14:editId="3A7261FB">
            <wp:extent cx="4760303" cy="3678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ranef.pdf"/>
                    <pic:cNvPicPr/>
                  </pic:nvPicPr>
                  <pic:blipFill>
                    <a:blip r:embed="rId8">
                      <a:extLst>
                        <a:ext uri="{28A0092B-C50C-407E-A947-70E740481C1C}">
                          <a14:useLocalDpi xmlns:a14="http://schemas.microsoft.com/office/drawing/2010/main" val="0"/>
                        </a:ext>
                      </a:extLst>
                    </a:blip>
                    <a:stretch>
                      <a:fillRect/>
                    </a:stretch>
                  </pic:blipFill>
                  <pic:spPr>
                    <a:xfrm>
                      <a:off x="0" y="0"/>
                      <a:ext cx="4760303" cy="3678555"/>
                    </a:xfrm>
                    <a:prstGeom prst="rect">
                      <a:avLst/>
                    </a:prstGeom>
                  </pic:spPr>
                </pic:pic>
              </a:graphicData>
            </a:graphic>
          </wp:inline>
        </w:drawing>
      </w:r>
    </w:p>
    <w:p w14:paraId="6A76D9AA" w14:textId="77777777" w:rsidR="00B02684" w:rsidRDefault="00B02684" w:rsidP="00111A9E">
      <w:pPr>
        <w:spacing w:before="200" w:line="360" w:lineRule="auto"/>
        <w:rPr>
          <w:lang w:val="en-US"/>
        </w:rPr>
      </w:pPr>
      <w:r w:rsidRPr="00411716">
        <w:rPr>
          <w:b/>
          <w:lang w:val="en-US"/>
        </w:rPr>
        <w:t>Fig.</w:t>
      </w:r>
      <w:r>
        <w:rPr>
          <w:b/>
          <w:lang w:val="en-US"/>
        </w:rPr>
        <w:t xml:space="preserve"> S4</w:t>
      </w:r>
      <w:r w:rsidRPr="00411716">
        <w:rPr>
          <w:b/>
          <w:lang w:val="en-US"/>
        </w:rPr>
        <w:t>:</w:t>
      </w:r>
      <w:r>
        <w:rPr>
          <w:lang w:val="en-US"/>
        </w:rPr>
        <w:t xml:space="preserve"> </w:t>
      </w:r>
      <w:r w:rsidRPr="00F67970">
        <w:rPr>
          <w:lang w:val="en-US"/>
        </w:rPr>
        <w:t>Inter-individual variability in effect of olanzapine (OLZ) on weight gain (</w:t>
      </w:r>
      <w:r w:rsidRPr="00F67970">
        <w:rPr>
          <w:i/>
          <w:lang w:val="en-US"/>
        </w:rPr>
        <w:t>n</w:t>
      </w:r>
      <w:r w:rsidRPr="00F67970">
        <w:rPr>
          <w:lang w:val="en-US"/>
        </w:rPr>
        <w:t xml:space="preserve"> = 24 subjects). At left, confidence intervals for posterior mode of subject-specific offset (</w:t>
      </w:r>
      <w:proofErr w:type="spellStart"/>
      <w:r w:rsidRPr="00F67970">
        <w:rPr>
          <w:lang w:val="en-US"/>
        </w:rPr>
        <w:t>eg</w:t>
      </w:r>
      <w:proofErr w:type="spellEnd"/>
      <w:r w:rsidRPr="00F67970">
        <w:rPr>
          <w:lang w:val="en-US"/>
        </w:rPr>
        <w:t>. baseline weight differences); at right, confidence intervals for subject-specific OLZ effect, which represent deviations from the overall mean OLZ effect.</w:t>
      </w:r>
    </w:p>
    <w:p w14:paraId="6C8937E1" w14:textId="77777777" w:rsidR="00B02684" w:rsidRDefault="00B02684" w:rsidP="00111A9E">
      <w:pPr>
        <w:spacing w:after="0" w:line="360" w:lineRule="auto"/>
        <w:rPr>
          <w:lang w:val="en-US"/>
        </w:rPr>
      </w:pPr>
      <w:r>
        <w:rPr>
          <w:lang w:val="en-US"/>
        </w:rPr>
        <w:br w:type="page"/>
      </w:r>
    </w:p>
    <w:p w14:paraId="6731ACDF" w14:textId="77777777" w:rsidR="00B02684" w:rsidRDefault="00B02684" w:rsidP="00111A9E">
      <w:pPr>
        <w:spacing w:before="200" w:line="360" w:lineRule="auto"/>
        <w:rPr>
          <w:lang w:val="en-US"/>
        </w:rPr>
      </w:pPr>
    </w:p>
    <w:p w14:paraId="77C1C3D8" w14:textId="77777777" w:rsidR="00B02684" w:rsidRDefault="00B02684" w:rsidP="00111A9E">
      <w:pPr>
        <w:spacing w:before="200" w:line="360" w:lineRule="auto"/>
        <w:jc w:val="center"/>
        <w:rPr>
          <w:b/>
          <w:lang w:val="en-US"/>
        </w:rPr>
      </w:pPr>
      <w:r>
        <w:rPr>
          <w:b/>
          <w:noProof/>
          <w:lang w:val="en-US"/>
        </w:rPr>
        <w:drawing>
          <wp:inline distT="0" distB="0" distL="0" distR="0" wp14:anchorId="5125B825" wp14:editId="2F1634BD">
            <wp:extent cx="5110480" cy="2555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weighted.unifrac.pdf"/>
                    <pic:cNvPicPr/>
                  </pic:nvPicPr>
                  <pic:blipFill>
                    <a:blip r:embed="rId9">
                      <a:extLst>
                        <a:ext uri="{28A0092B-C50C-407E-A947-70E740481C1C}">
                          <a14:useLocalDpi xmlns:a14="http://schemas.microsoft.com/office/drawing/2010/main" val="0"/>
                        </a:ext>
                      </a:extLst>
                    </a:blip>
                    <a:stretch>
                      <a:fillRect/>
                    </a:stretch>
                  </pic:blipFill>
                  <pic:spPr>
                    <a:xfrm>
                      <a:off x="0" y="0"/>
                      <a:ext cx="5110480" cy="2555240"/>
                    </a:xfrm>
                    <a:prstGeom prst="rect">
                      <a:avLst/>
                    </a:prstGeom>
                  </pic:spPr>
                </pic:pic>
              </a:graphicData>
            </a:graphic>
          </wp:inline>
        </w:drawing>
      </w:r>
    </w:p>
    <w:p w14:paraId="5F8337B1" w14:textId="77777777" w:rsidR="00B02684" w:rsidRDefault="00B02684" w:rsidP="00111A9E">
      <w:pPr>
        <w:spacing w:before="200" w:line="360" w:lineRule="auto"/>
        <w:rPr>
          <w:lang w:val="en-US"/>
        </w:rPr>
      </w:pPr>
      <w:r w:rsidRPr="00411716">
        <w:rPr>
          <w:b/>
          <w:lang w:val="en-US"/>
        </w:rPr>
        <w:t>Fig. S</w:t>
      </w:r>
      <w:r>
        <w:rPr>
          <w:b/>
          <w:lang w:val="en-US"/>
        </w:rPr>
        <w:t>5</w:t>
      </w:r>
      <w:r w:rsidRPr="00411716">
        <w:rPr>
          <w:b/>
          <w:lang w:val="en-US"/>
        </w:rPr>
        <w:t>:</w:t>
      </w:r>
      <w:r>
        <w:rPr>
          <w:lang w:val="en-US"/>
        </w:rPr>
        <w:t xml:space="preserve"> </w:t>
      </w:r>
      <w:r w:rsidRPr="00F67970">
        <w:rPr>
          <w:lang w:val="en-US"/>
        </w:rPr>
        <w:t>Between-subjects (</w:t>
      </w:r>
      <w:r w:rsidRPr="00F67970">
        <w:rPr>
          <w:rFonts w:ascii="Times New Roman" w:hAnsi="Times New Roman" w:cs="Times New Roman" w:hint="eastAsia"/>
          <w:i/>
          <w:lang w:val="en-US"/>
        </w:rPr>
        <w:t>β</w:t>
      </w:r>
      <w:r w:rsidRPr="00F67970">
        <w:rPr>
          <w:lang w:val="en-US"/>
        </w:rPr>
        <w:t xml:space="preserve">) diversity by </w:t>
      </w:r>
      <w:proofErr w:type="spellStart"/>
      <w:r>
        <w:rPr>
          <w:lang w:val="en-US"/>
        </w:rPr>
        <w:t>un</w:t>
      </w:r>
      <w:r w:rsidRPr="00F67970">
        <w:rPr>
          <w:lang w:val="en-US"/>
        </w:rPr>
        <w:t>weighted</w:t>
      </w:r>
      <w:proofErr w:type="spellEnd"/>
      <w:r w:rsidRPr="00F67970">
        <w:rPr>
          <w:lang w:val="en-US"/>
        </w:rPr>
        <w:t xml:space="preserve"> </w:t>
      </w:r>
      <w:proofErr w:type="spellStart"/>
      <w:r w:rsidRPr="00F67970">
        <w:rPr>
          <w:lang w:val="en-US"/>
        </w:rPr>
        <w:t>UniFrac</w:t>
      </w:r>
      <w:proofErr w:type="spellEnd"/>
      <w:r w:rsidRPr="00F67970">
        <w:rPr>
          <w:lang w:val="en-US"/>
        </w:rPr>
        <w:t xml:space="preserve"> (</w:t>
      </w:r>
      <w:r w:rsidRPr="00F67970">
        <w:rPr>
          <w:i/>
          <w:lang w:val="en-US"/>
        </w:rPr>
        <w:t>n</w:t>
      </w:r>
      <w:r w:rsidRPr="00F67970">
        <w:rPr>
          <w:lang w:val="en-US"/>
        </w:rPr>
        <w:t xml:space="preserve"> = 95 samples = 4 time points × 24 subjects – 1 failed sample), visualized using non-metric multidimensional scaling. Panels are split by study arm (see </w:t>
      </w:r>
      <w:r>
        <w:rPr>
          <w:rFonts w:cs="Times New Roman"/>
          <w:b/>
          <w:lang w:val="en-US"/>
        </w:rPr>
        <w:t>Figure 1C</w:t>
      </w:r>
      <w:r w:rsidRPr="00F67970">
        <w:rPr>
          <w:lang w:val="en-US"/>
        </w:rPr>
        <w:t xml:space="preserve">) and observations on the same subject are connected by a grey line. </w:t>
      </w:r>
    </w:p>
    <w:p w14:paraId="47FC75D0" w14:textId="77777777" w:rsidR="00B02684" w:rsidRDefault="00B02684" w:rsidP="00111A9E">
      <w:pPr>
        <w:spacing w:after="0" w:line="360" w:lineRule="auto"/>
        <w:rPr>
          <w:lang w:val="en-US"/>
        </w:rPr>
      </w:pPr>
      <w:r>
        <w:rPr>
          <w:lang w:val="en-US"/>
        </w:rPr>
        <w:br w:type="page"/>
      </w:r>
    </w:p>
    <w:p w14:paraId="3B4097B6" w14:textId="77777777" w:rsidR="00B02684" w:rsidRPr="00F67970" w:rsidRDefault="00B02684" w:rsidP="00111A9E">
      <w:pPr>
        <w:spacing w:before="200" w:line="360" w:lineRule="auto"/>
        <w:rPr>
          <w:lang w:val="en-US"/>
        </w:rPr>
      </w:pPr>
    </w:p>
    <w:p w14:paraId="3808F137" w14:textId="77777777" w:rsidR="00B02684" w:rsidRDefault="00B02684" w:rsidP="00111A9E">
      <w:pPr>
        <w:spacing w:before="200" w:line="360" w:lineRule="auto"/>
        <w:jc w:val="center"/>
        <w:rPr>
          <w:b/>
          <w:lang w:val="en-US"/>
        </w:rPr>
      </w:pPr>
      <w:r>
        <w:rPr>
          <w:b/>
          <w:noProof/>
          <w:lang w:val="en-US"/>
        </w:rPr>
        <w:drawing>
          <wp:inline distT="0" distB="0" distL="0" distR="0" wp14:anchorId="01F21393" wp14:editId="3EE5AADF">
            <wp:extent cx="6659880" cy="2219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timecourse.pdf"/>
                    <pic:cNvPicPr/>
                  </pic:nvPicPr>
                  <pic:blipFill>
                    <a:blip r:embed="rId10">
                      <a:extLst>
                        <a:ext uri="{28A0092B-C50C-407E-A947-70E740481C1C}">
                          <a14:useLocalDpi xmlns:a14="http://schemas.microsoft.com/office/drawing/2010/main" val="0"/>
                        </a:ext>
                      </a:extLst>
                    </a:blip>
                    <a:stretch>
                      <a:fillRect/>
                    </a:stretch>
                  </pic:blipFill>
                  <pic:spPr>
                    <a:xfrm>
                      <a:off x="0" y="0"/>
                      <a:ext cx="6659880" cy="2219960"/>
                    </a:xfrm>
                    <a:prstGeom prst="rect">
                      <a:avLst/>
                    </a:prstGeom>
                  </pic:spPr>
                </pic:pic>
              </a:graphicData>
            </a:graphic>
          </wp:inline>
        </w:drawing>
      </w:r>
    </w:p>
    <w:p w14:paraId="4A1AAB7D" w14:textId="77777777" w:rsidR="00B02684" w:rsidRDefault="00B02684" w:rsidP="00111A9E">
      <w:pPr>
        <w:spacing w:before="200" w:line="360" w:lineRule="auto"/>
        <w:rPr>
          <w:lang w:val="en-US"/>
        </w:rPr>
      </w:pPr>
      <w:r w:rsidRPr="00411716">
        <w:rPr>
          <w:b/>
          <w:lang w:val="en-US"/>
        </w:rPr>
        <w:t>Fig.</w:t>
      </w:r>
      <w:r>
        <w:rPr>
          <w:b/>
          <w:lang w:val="en-US"/>
        </w:rPr>
        <w:t xml:space="preserve"> S6</w:t>
      </w:r>
      <w:r w:rsidRPr="00411716">
        <w:rPr>
          <w:b/>
          <w:lang w:val="en-US"/>
        </w:rPr>
        <w:t>:</w:t>
      </w:r>
      <w:r>
        <w:rPr>
          <w:lang w:val="en-US"/>
        </w:rPr>
        <w:t xml:space="preserve"> </w:t>
      </w:r>
      <w:r w:rsidRPr="00F67970">
        <w:rPr>
          <w:lang w:val="en-US"/>
        </w:rPr>
        <w:t xml:space="preserve">Time series of gut microbiota composition at the individual level. Colored regions show relative abundance, per subject, of specific bacterial classes at each of the experiment’s four time points (see </w:t>
      </w:r>
      <w:r>
        <w:rPr>
          <w:rFonts w:cs="Times New Roman"/>
          <w:b/>
          <w:lang w:val="en-US"/>
        </w:rPr>
        <w:t>Figure 1C</w:t>
      </w:r>
      <w:r w:rsidRPr="00F67970">
        <w:rPr>
          <w:lang w:val="en-US"/>
        </w:rPr>
        <w:t>). Subjects are grouped by study arm (left, A; right, B) and cage (numbered sequentially, 1-6) as indicat</w:t>
      </w:r>
      <w:r>
        <w:rPr>
          <w:lang w:val="en-US"/>
        </w:rPr>
        <w:t>ed in the bar above each panel.</w:t>
      </w:r>
    </w:p>
    <w:p w14:paraId="7C31B273" w14:textId="77777777" w:rsidR="00B02684" w:rsidRDefault="00B02684" w:rsidP="00111A9E">
      <w:pPr>
        <w:spacing w:after="0" w:line="360" w:lineRule="auto"/>
        <w:rPr>
          <w:lang w:val="en-US"/>
        </w:rPr>
      </w:pPr>
      <w:r>
        <w:rPr>
          <w:lang w:val="en-US"/>
        </w:rPr>
        <w:br w:type="page"/>
      </w:r>
    </w:p>
    <w:p w14:paraId="1997D007" w14:textId="77777777" w:rsidR="00B02684" w:rsidRPr="00F67970" w:rsidRDefault="00B02684" w:rsidP="00111A9E">
      <w:pPr>
        <w:spacing w:before="200" w:line="360" w:lineRule="auto"/>
        <w:rPr>
          <w:lang w:val="en-US"/>
        </w:rPr>
      </w:pPr>
    </w:p>
    <w:p w14:paraId="701465E5" w14:textId="77777777" w:rsidR="00B02684" w:rsidRDefault="00B02684" w:rsidP="00111A9E">
      <w:pPr>
        <w:spacing w:before="200" w:line="360" w:lineRule="auto"/>
        <w:jc w:val="center"/>
        <w:rPr>
          <w:b/>
          <w:lang w:val="en-US"/>
        </w:rPr>
      </w:pPr>
      <w:r>
        <w:rPr>
          <w:b/>
          <w:noProof/>
          <w:lang w:val="en-US"/>
        </w:rPr>
        <w:drawing>
          <wp:inline distT="0" distB="0" distL="0" distR="0" wp14:anchorId="0BD8F6E6" wp14:editId="1D847D6B">
            <wp:extent cx="4800600" cy="37096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efactions.pdf"/>
                    <pic:cNvPicPr/>
                  </pic:nvPicPr>
                  <pic:blipFill>
                    <a:blip r:embed="rId11">
                      <a:extLst>
                        <a:ext uri="{28A0092B-C50C-407E-A947-70E740481C1C}">
                          <a14:useLocalDpi xmlns:a14="http://schemas.microsoft.com/office/drawing/2010/main" val="0"/>
                        </a:ext>
                      </a:extLst>
                    </a:blip>
                    <a:stretch>
                      <a:fillRect/>
                    </a:stretch>
                  </pic:blipFill>
                  <pic:spPr>
                    <a:xfrm>
                      <a:off x="0" y="0"/>
                      <a:ext cx="4800600" cy="3709694"/>
                    </a:xfrm>
                    <a:prstGeom prst="rect">
                      <a:avLst/>
                    </a:prstGeom>
                  </pic:spPr>
                </pic:pic>
              </a:graphicData>
            </a:graphic>
          </wp:inline>
        </w:drawing>
      </w:r>
    </w:p>
    <w:p w14:paraId="5995FBB9" w14:textId="77777777" w:rsidR="00B02684" w:rsidRDefault="00B02684" w:rsidP="00111A9E">
      <w:pPr>
        <w:spacing w:before="200" w:line="360" w:lineRule="auto"/>
        <w:rPr>
          <w:lang w:val="en-US"/>
        </w:rPr>
      </w:pPr>
      <w:r w:rsidRPr="00411716">
        <w:rPr>
          <w:b/>
          <w:lang w:val="en-US"/>
        </w:rPr>
        <w:t>Fig. S</w:t>
      </w:r>
      <w:r>
        <w:rPr>
          <w:b/>
          <w:lang w:val="en-US"/>
        </w:rPr>
        <w:t>7</w:t>
      </w:r>
      <w:r w:rsidRPr="00411716">
        <w:rPr>
          <w:b/>
          <w:lang w:val="en-US"/>
        </w:rPr>
        <w:t>:</w:t>
      </w:r>
      <w:r>
        <w:rPr>
          <w:lang w:val="en-US"/>
        </w:rPr>
        <w:t xml:space="preserve"> </w:t>
      </w:r>
      <w:r w:rsidRPr="00F67970">
        <w:rPr>
          <w:lang w:val="en-US"/>
        </w:rPr>
        <w:t xml:space="preserve">Rarefaction curves for assessing coverage of 16S </w:t>
      </w:r>
      <w:proofErr w:type="spellStart"/>
      <w:r w:rsidRPr="00F67970">
        <w:rPr>
          <w:lang w:val="en-US"/>
        </w:rPr>
        <w:t>rRNA</w:t>
      </w:r>
      <w:proofErr w:type="spellEnd"/>
      <w:r w:rsidRPr="00F67970">
        <w:rPr>
          <w:lang w:val="en-US"/>
        </w:rPr>
        <w:t xml:space="preserve"> sequencing. Each curve plots the number of OTUs discovered (species richness; y-axis) as a function of sequencing depth (reads per sample; x-axis) in a single sample (</w:t>
      </w:r>
      <w:r w:rsidRPr="00F67970">
        <w:rPr>
          <w:i/>
          <w:lang w:val="en-US"/>
        </w:rPr>
        <w:t>n</w:t>
      </w:r>
      <w:r w:rsidRPr="00F67970">
        <w:rPr>
          <w:lang w:val="en-US"/>
        </w:rPr>
        <w:t xml:space="preserve"> = 95 samples = 4 time points × 24 subjects – 1 failed sample). Curves are grouped by feces-collection time point (see </w:t>
      </w:r>
      <w:r>
        <w:rPr>
          <w:rFonts w:cs="Times New Roman"/>
          <w:b/>
          <w:lang w:val="en-US"/>
        </w:rPr>
        <w:t>Figure 1C</w:t>
      </w:r>
      <w:r w:rsidRPr="00411716">
        <w:rPr>
          <w:rFonts w:cs="Times New Roman"/>
          <w:lang w:val="en-US"/>
        </w:rPr>
        <w:t>)</w:t>
      </w:r>
      <w:r w:rsidRPr="00F67970">
        <w:rPr>
          <w:lang w:val="en-US"/>
        </w:rPr>
        <w:t xml:space="preserve"> and treatment status.</w:t>
      </w:r>
    </w:p>
    <w:p w14:paraId="69E6DA05" w14:textId="77777777" w:rsidR="00B02684" w:rsidRDefault="00B02684" w:rsidP="00111A9E">
      <w:pPr>
        <w:spacing w:after="0" w:line="360" w:lineRule="auto"/>
        <w:rPr>
          <w:lang w:val="en-US"/>
        </w:rPr>
      </w:pPr>
      <w:r>
        <w:rPr>
          <w:lang w:val="en-US"/>
        </w:rPr>
        <w:br w:type="page"/>
      </w:r>
    </w:p>
    <w:p w14:paraId="5846EEA5" w14:textId="77777777" w:rsidR="00B02684" w:rsidRPr="00F67970" w:rsidRDefault="00B02684" w:rsidP="00111A9E">
      <w:pPr>
        <w:spacing w:before="200" w:line="360" w:lineRule="auto"/>
        <w:rPr>
          <w:lang w:val="en-US"/>
        </w:rPr>
      </w:pPr>
    </w:p>
    <w:p w14:paraId="343E214F" w14:textId="77777777" w:rsidR="00B02684" w:rsidRDefault="00B02684" w:rsidP="00111A9E">
      <w:pPr>
        <w:spacing w:before="200" w:line="360" w:lineRule="auto"/>
        <w:jc w:val="center"/>
        <w:rPr>
          <w:b/>
          <w:lang w:val="en-US"/>
        </w:rPr>
      </w:pPr>
      <w:r>
        <w:rPr>
          <w:b/>
          <w:noProof/>
          <w:lang w:val="en-US"/>
        </w:rPr>
        <w:drawing>
          <wp:inline distT="0" distB="0" distL="0" distR="0" wp14:anchorId="7ECC3D9F" wp14:editId="7C64EF19">
            <wp:extent cx="5943600" cy="3526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geny.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3526155"/>
                    </a:xfrm>
                    <a:prstGeom prst="rect">
                      <a:avLst/>
                    </a:prstGeom>
                  </pic:spPr>
                </pic:pic>
              </a:graphicData>
            </a:graphic>
          </wp:inline>
        </w:drawing>
      </w:r>
    </w:p>
    <w:p w14:paraId="4E90A6B8" w14:textId="73FD31C2" w:rsidR="00B02684" w:rsidRDefault="00B02684" w:rsidP="00111A9E">
      <w:pPr>
        <w:spacing w:before="200" w:line="360" w:lineRule="auto"/>
        <w:rPr>
          <w:lang w:val="en-US"/>
        </w:rPr>
      </w:pPr>
      <w:r w:rsidRPr="00411716">
        <w:rPr>
          <w:b/>
          <w:lang w:val="en-US"/>
        </w:rPr>
        <w:t>Fig. S</w:t>
      </w:r>
      <w:r>
        <w:rPr>
          <w:b/>
          <w:lang w:val="en-US"/>
        </w:rPr>
        <w:t>8</w:t>
      </w:r>
      <w:r w:rsidRPr="00411716">
        <w:rPr>
          <w:b/>
          <w:lang w:val="en-US"/>
        </w:rPr>
        <w:t>:</w:t>
      </w:r>
      <w:r>
        <w:rPr>
          <w:lang w:val="en-US"/>
        </w:rPr>
        <w:t xml:space="preserve"> </w:t>
      </w:r>
      <w:r w:rsidRPr="00F67970">
        <w:rPr>
          <w:lang w:val="en-US"/>
        </w:rPr>
        <w:t>Maximum-likelihood phylogeny of operational taxonomic unit</w:t>
      </w:r>
      <w:r>
        <w:rPr>
          <w:lang w:val="en-US"/>
        </w:rPr>
        <w:t xml:space="preserve">s (OTUs) identified by 16S </w:t>
      </w:r>
      <w:proofErr w:type="spellStart"/>
      <w:r>
        <w:rPr>
          <w:lang w:val="en-US"/>
        </w:rPr>
        <w:t>rD</w:t>
      </w:r>
      <w:r w:rsidRPr="00F67970">
        <w:rPr>
          <w:lang w:val="en-US"/>
        </w:rPr>
        <w:t>NA</w:t>
      </w:r>
      <w:proofErr w:type="spellEnd"/>
      <w:r w:rsidRPr="00F67970">
        <w:rPr>
          <w:lang w:val="en-US"/>
        </w:rPr>
        <w:t xml:space="preserve"> sequencing, </w:t>
      </w:r>
      <w:proofErr w:type="spellStart"/>
      <w:r w:rsidRPr="00F67970">
        <w:rPr>
          <w:lang w:val="en-US"/>
        </w:rPr>
        <w:t>unrooted</w:t>
      </w:r>
      <w:proofErr w:type="spellEnd"/>
      <w:r w:rsidRPr="00F67970">
        <w:rPr>
          <w:lang w:val="en-US"/>
        </w:rPr>
        <w:t xml:space="preserve"> (</w:t>
      </w:r>
      <w:r w:rsidRPr="00F67970">
        <w:rPr>
          <w:i/>
          <w:lang w:val="en-US"/>
        </w:rPr>
        <w:t>n</w:t>
      </w:r>
      <w:r w:rsidRPr="00F67970">
        <w:rPr>
          <w:lang w:val="en-US"/>
        </w:rPr>
        <w:t xml:space="preserve"> = 8067 OTUs). Scale for branch lengths is indicated by scale bar at lower-right, in units of nucleotide substitutions per site.</w:t>
      </w:r>
    </w:p>
    <w:p w14:paraId="1E58C493" w14:textId="77777777" w:rsidR="00B02684" w:rsidRDefault="00B02684" w:rsidP="00111A9E">
      <w:pPr>
        <w:spacing w:after="0" w:line="360" w:lineRule="auto"/>
        <w:rPr>
          <w:lang w:val="en-US"/>
        </w:rPr>
      </w:pPr>
      <w:r>
        <w:rPr>
          <w:lang w:val="en-US"/>
        </w:rPr>
        <w:br w:type="page"/>
      </w:r>
    </w:p>
    <w:p w14:paraId="4E7A0C2D" w14:textId="77777777" w:rsidR="00B02684" w:rsidRPr="00F67970" w:rsidRDefault="00B02684" w:rsidP="00111A9E">
      <w:pPr>
        <w:spacing w:before="200" w:line="360" w:lineRule="auto"/>
        <w:jc w:val="center"/>
        <w:rPr>
          <w:lang w:val="en-US"/>
        </w:rPr>
      </w:pPr>
      <w:r>
        <w:rPr>
          <w:noProof/>
          <w:lang w:val="en-US"/>
        </w:rPr>
        <w:lastRenderedPageBreak/>
        <w:drawing>
          <wp:inline distT="0" distB="0" distL="0" distR="0" wp14:anchorId="4735997A" wp14:editId="6E4DBFD9">
            <wp:extent cx="4343400" cy="434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matrix.pdf"/>
                    <pic:cNvPicPr/>
                  </pic:nvPicPr>
                  <pic:blipFill>
                    <a:blip r:embed="rId13">
                      <a:extLst>
                        <a:ext uri="{28A0092B-C50C-407E-A947-70E740481C1C}">
                          <a14:useLocalDpi xmlns:a14="http://schemas.microsoft.com/office/drawing/2010/main" val="0"/>
                        </a:ext>
                      </a:extLst>
                    </a:blip>
                    <a:stretch>
                      <a:fillRect/>
                    </a:stretch>
                  </pic:blipFill>
                  <pic:spPr>
                    <a:xfrm>
                      <a:off x="0" y="0"/>
                      <a:ext cx="4343400" cy="4343400"/>
                    </a:xfrm>
                    <a:prstGeom prst="rect">
                      <a:avLst/>
                    </a:prstGeom>
                  </pic:spPr>
                </pic:pic>
              </a:graphicData>
            </a:graphic>
          </wp:inline>
        </w:drawing>
      </w:r>
    </w:p>
    <w:p w14:paraId="3B31ECD8" w14:textId="77777777" w:rsidR="00B02684" w:rsidRDefault="00B02684" w:rsidP="00111A9E">
      <w:pPr>
        <w:spacing w:line="360" w:lineRule="auto"/>
        <w:rPr>
          <w:lang w:val="en-US"/>
        </w:rPr>
      </w:pPr>
      <w:r w:rsidRPr="00411716">
        <w:rPr>
          <w:b/>
          <w:lang w:val="en-US"/>
        </w:rPr>
        <w:t>Fig.</w:t>
      </w:r>
      <w:r>
        <w:rPr>
          <w:b/>
          <w:lang w:val="en-US"/>
        </w:rPr>
        <w:t xml:space="preserve"> S9</w:t>
      </w:r>
      <w:r w:rsidRPr="00411716">
        <w:rPr>
          <w:b/>
          <w:lang w:val="en-US"/>
        </w:rPr>
        <w:t>:</w:t>
      </w:r>
      <w:r>
        <w:rPr>
          <w:lang w:val="en-US"/>
        </w:rPr>
        <w:t xml:space="preserve"> </w:t>
      </w:r>
      <w:proofErr w:type="spellStart"/>
      <w:r w:rsidRPr="00F67970">
        <w:rPr>
          <w:lang w:val="en-US"/>
        </w:rPr>
        <w:t>Heatmap</w:t>
      </w:r>
      <w:proofErr w:type="spellEnd"/>
      <w:r w:rsidRPr="00F67970">
        <w:rPr>
          <w:lang w:val="en-US"/>
        </w:rPr>
        <w:t xml:space="preserve"> of (Pearson’s r) correlation matrix for 500 most-variable OTUs, colored from blue (r</w:t>
      </w:r>
      <w:r w:rsidRPr="00F67970">
        <w:rPr>
          <w:i/>
          <w:lang w:val="en-US"/>
        </w:rPr>
        <w:t xml:space="preserve"> </w:t>
      </w:r>
      <w:r w:rsidRPr="00F67970">
        <w:rPr>
          <w:lang w:val="en-US"/>
        </w:rPr>
        <w:t>=</w:t>
      </w:r>
      <w:r w:rsidRPr="00F67970">
        <w:rPr>
          <w:i/>
          <w:lang w:val="en-US"/>
        </w:rPr>
        <w:t xml:space="preserve"> </w:t>
      </w:r>
      <w:r w:rsidRPr="00F67970">
        <w:rPr>
          <w:lang w:val="en-US"/>
        </w:rPr>
        <w:t>+1) through white (r = 0) to red (r = -1). Rows and columns are hierarchically clustered in order to reveal block structure.</w:t>
      </w:r>
    </w:p>
    <w:p w14:paraId="0557F3CA" w14:textId="77777777" w:rsidR="00B02684" w:rsidRDefault="00B02684" w:rsidP="00111A9E">
      <w:pPr>
        <w:spacing w:after="0" w:line="360" w:lineRule="auto"/>
        <w:rPr>
          <w:lang w:val="en-US"/>
        </w:rPr>
      </w:pPr>
      <w:r>
        <w:rPr>
          <w:lang w:val="en-US"/>
        </w:rPr>
        <w:br w:type="page"/>
      </w:r>
    </w:p>
    <w:p w14:paraId="1A302D47" w14:textId="77777777" w:rsidR="00B02684" w:rsidRPr="00F67970" w:rsidRDefault="00B02684" w:rsidP="00111A9E">
      <w:pPr>
        <w:spacing w:line="360" w:lineRule="auto"/>
        <w:rPr>
          <w:lang w:val="en-US"/>
        </w:rPr>
      </w:pPr>
      <w:r w:rsidRPr="00411716">
        <w:rPr>
          <w:b/>
          <w:lang w:val="en-US"/>
        </w:rPr>
        <w:lastRenderedPageBreak/>
        <w:t>Table S1:</w:t>
      </w:r>
      <w:r>
        <w:rPr>
          <w:lang w:val="en-US"/>
        </w:rPr>
        <w:t xml:space="preserve"> </w:t>
      </w:r>
      <w:r w:rsidRPr="00F67970">
        <w:rPr>
          <w:lang w:val="en-US"/>
        </w:rPr>
        <w:t xml:space="preserve">Sample metadata for 96 fecal samples.  </w:t>
      </w:r>
      <w:proofErr w:type="spellStart"/>
      <w:r w:rsidRPr="00F67970">
        <w:rPr>
          <w:lang w:val="en-US"/>
        </w:rPr>
        <w:t>Timepoints</w:t>
      </w:r>
      <w:proofErr w:type="spellEnd"/>
      <w:r w:rsidRPr="00F67970">
        <w:rPr>
          <w:lang w:val="en-US"/>
        </w:rPr>
        <w:t xml:space="preserve"> are coded in order according to </w:t>
      </w:r>
      <w:r>
        <w:rPr>
          <w:b/>
          <w:lang w:val="en-US"/>
        </w:rPr>
        <w:t>Figure 1C</w:t>
      </w:r>
      <w:r w:rsidRPr="00411716">
        <w:rPr>
          <w:lang w:val="en-US"/>
        </w:rPr>
        <w:t>.</w:t>
      </w:r>
    </w:p>
    <w:p w14:paraId="4545CCAB" w14:textId="77777777" w:rsidR="00B02684" w:rsidRPr="00F67970" w:rsidRDefault="00B02684" w:rsidP="00111A9E">
      <w:pPr>
        <w:spacing w:line="360" w:lineRule="auto"/>
        <w:rPr>
          <w:lang w:val="en-US"/>
        </w:rPr>
      </w:pPr>
      <w:r w:rsidRPr="00411716">
        <w:rPr>
          <w:b/>
          <w:lang w:val="en-US"/>
        </w:rPr>
        <w:t>Table S</w:t>
      </w:r>
      <w:r>
        <w:rPr>
          <w:b/>
          <w:lang w:val="en-US"/>
        </w:rPr>
        <w:t>2</w:t>
      </w:r>
      <w:r w:rsidRPr="00411716">
        <w:rPr>
          <w:b/>
          <w:lang w:val="en-US"/>
        </w:rPr>
        <w:t>:</w:t>
      </w:r>
      <w:r>
        <w:rPr>
          <w:lang w:val="en-US"/>
        </w:rPr>
        <w:t xml:space="preserve"> </w:t>
      </w:r>
      <w:r w:rsidRPr="00F67970">
        <w:rPr>
          <w:lang w:val="en-US"/>
        </w:rPr>
        <w:t xml:space="preserve">Raw operational taxonomic unit (OTU) abundance table.  Sample identifiers follow those in </w:t>
      </w:r>
      <w:r>
        <w:rPr>
          <w:b/>
          <w:lang w:val="en-US"/>
        </w:rPr>
        <w:t>Table S1</w:t>
      </w:r>
      <w:r w:rsidRPr="00F67970">
        <w:rPr>
          <w:lang w:val="en-US"/>
        </w:rPr>
        <w:t>.</w:t>
      </w:r>
    </w:p>
    <w:p w14:paraId="21C987BA" w14:textId="77777777" w:rsidR="00B02684" w:rsidRPr="00411716" w:rsidRDefault="00B02684" w:rsidP="00111A9E">
      <w:pPr>
        <w:spacing w:line="360" w:lineRule="auto"/>
        <w:rPr>
          <w:lang w:val="en-US"/>
        </w:rPr>
      </w:pPr>
      <w:r w:rsidRPr="00411716">
        <w:rPr>
          <w:b/>
          <w:lang w:val="en-US"/>
        </w:rPr>
        <w:t>Table S</w:t>
      </w:r>
      <w:r>
        <w:rPr>
          <w:b/>
          <w:lang w:val="en-US"/>
        </w:rPr>
        <w:t>3</w:t>
      </w:r>
      <w:r w:rsidRPr="00411716">
        <w:rPr>
          <w:b/>
          <w:lang w:val="en-US"/>
        </w:rPr>
        <w:t>:</w:t>
      </w:r>
      <w:r>
        <w:rPr>
          <w:lang w:val="en-US"/>
        </w:rPr>
        <w:t xml:space="preserve"> </w:t>
      </w:r>
      <w:r w:rsidRPr="00F67970">
        <w:rPr>
          <w:lang w:val="en-US"/>
        </w:rPr>
        <w:t xml:space="preserve">Taxonomic identification of operational taxonomic units (OTUs) to the rank of family.  Missing data are coded as “NA.”  OTU identifiers follow those in </w:t>
      </w:r>
      <w:r>
        <w:rPr>
          <w:b/>
          <w:lang w:val="en-US"/>
        </w:rPr>
        <w:t>Table S2</w:t>
      </w:r>
      <w:r>
        <w:rPr>
          <w:lang w:val="en-US"/>
        </w:rPr>
        <w:t>.</w:t>
      </w:r>
    </w:p>
    <w:p w14:paraId="4B68A89C" w14:textId="77777777" w:rsidR="00B02684" w:rsidRPr="00F67970" w:rsidRDefault="00B02684" w:rsidP="00111A9E">
      <w:pPr>
        <w:spacing w:line="360" w:lineRule="auto"/>
        <w:rPr>
          <w:rFonts w:cs="Times New Roman"/>
          <w:color w:val="000000"/>
        </w:rPr>
      </w:pPr>
      <w:r w:rsidRPr="00411716">
        <w:rPr>
          <w:b/>
          <w:lang w:val="en-US"/>
        </w:rPr>
        <w:t>Table S</w:t>
      </w:r>
      <w:r>
        <w:rPr>
          <w:b/>
          <w:lang w:val="en-US"/>
        </w:rPr>
        <w:t>4</w:t>
      </w:r>
      <w:r w:rsidRPr="00411716">
        <w:rPr>
          <w:b/>
          <w:lang w:val="en-US"/>
        </w:rPr>
        <w:t>:</w:t>
      </w:r>
      <w:r>
        <w:rPr>
          <w:lang w:val="en-US"/>
        </w:rPr>
        <w:t xml:space="preserve"> </w:t>
      </w:r>
      <w:r w:rsidRPr="00F67970">
        <w:rPr>
          <w:lang w:val="en-US"/>
        </w:rPr>
        <w:t xml:space="preserve">Coefficient estimates for effect of olanzapine and high-fat diet on abundance of specific operational taxonomic units (OTUs).  OTU identifiers follow those in </w:t>
      </w:r>
      <w:r>
        <w:rPr>
          <w:b/>
          <w:lang w:val="en-US"/>
        </w:rPr>
        <w:t>Table S2</w:t>
      </w:r>
      <w:r w:rsidRPr="00F67970">
        <w:rPr>
          <w:lang w:val="en-US"/>
        </w:rPr>
        <w:t xml:space="preserve">.  Columns are as follows: Beta, the estimated effect on the log scale (see supplementary </w:t>
      </w:r>
      <w:r>
        <w:rPr>
          <w:lang w:val="en-US"/>
        </w:rPr>
        <w:t>notes</w:t>
      </w:r>
      <w:r w:rsidRPr="00F67970">
        <w:rPr>
          <w:lang w:val="en-US"/>
        </w:rPr>
        <w:t>); 95% CI, confidence bounds for the effect at nomi</w:t>
      </w:r>
      <w:r>
        <w:rPr>
          <w:lang w:val="en-US"/>
        </w:rPr>
        <w:t>n</w:t>
      </w:r>
      <w:r w:rsidRPr="00F67970">
        <w:rPr>
          <w:lang w:val="en-US"/>
        </w:rPr>
        <w:t xml:space="preserve">al significance level </w:t>
      </w:r>
      <w:r w:rsidRPr="00F67970">
        <w:rPr>
          <w:rFonts w:ascii="Times New Roman" w:hAnsi="Times New Roman" w:cs="Times New Roman"/>
          <w:i/>
          <w:color w:val="000000"/>
        </w:rPr>
        <w:t>α</w:t>
      </w:r>
      <w:r w:rsidRPr="00F67970">
        <w:rPr>
          <w:rFonts w:cs="Times New Roman"/>
          <w:color w:val="000000"/>
        </w:rPr>
        <w:t xml:space="preserve"> = 0.05; Term, the effect being tested (drug or diet); </w:t>
      </w:r>
      <w:r w:rsidRPr="00F67970">
        <w:rPr>
          <w:rFonts w:cs="Times New Roman"/>
          <w:i/>
          <w:color w:val="000000"/>
        </w:rPr>
        <w:t>p</w:t>
      </w:r>
      <w:r w:rsidRPr="00F67970">
        <w:rPr>
          <w:rFonts w:cs="Times New Roman"/>
          <w:color w:val="000000"/>
        </w:rPr>
        <w:t xml:space="preserve">-value, nominal </w:t>
      </w:r>
      <w:r w:rsidRPr="00F67970">
        <w:rPr>
          <w:rFonts w:cs="Times New Roman"/>
          <w:i/>
          <w:color w:val="000000"/>
        </w:rPr>
        <w:t>p</w:t>
      </w:r>
      <w:r w:rsidRPr="00F67970">
        <w:rPr>
          <w:rFonts w:cs="Times New Roman"/>
          <w:color w:val="000000"/>
        </w:rPr>
        <w:t xml:space="preserve">-value from likelihood-ratio test of null hypothesis that the true effect is zero; FDR-adjusted </w:t>
      </w:r>
      <w:r w:rsidRPr="00F67970">
        <w:rPr>
          <w:rFonts w:cs="Times New Roman"/>
          <w:i/>
          <w:color w:val="000000"/>
        </w:rPr>
        <w:t>p</w:t>
      </w:r>
      <w:r w:rsidRPr="00F67970">
        <w:rPr>
          <w:rFonts w:cs="Times New Roman"/>
          <w:color w:val="000000"/>
        </w:rPr>
        <w:t xml:space="preserve">-value, nominal </w:t>
      </w:r>
      <w:r w:rsidRPr="00F67970">
        <w:rPr>
          <w:rFonts w:cs="Times New Roman"/>
          <w:i/>
          <w:color w:val="000000"/>
        </w:rPr>
        <w:t>p</w:t>
      </w:r>
      <w:r w:rsidRPr="00F67970">
        <w:rPr>
          <w:rFonts w:cs="Times New Roman"/>
          <w:color w:val="000000"/>
        </w:rPr>
        <w:t xml:space="preserve">-value adjusted for multiple-testing by the method of </w:t>
      </w:r>
      <w:proofErr w:type="spellStart"/>
      <w:r w:rsidRPr="00F67970">
        <w:rPr>
          <w:rFonts w:cs="Times New Roman"/>
          <w:color w:val="000000"/>
        </w:rPr>
        <w:t>Benjamini</w:t>
      </w:r>
      <w:proofErr w:type="spellEnd"/>
      <w:r w:rsidRPr="00F67970">
        <w:rPr>
          <w:rFonts w:cs="Times New Roman"/>
          <w:color w:val="000000"/>
        </w:rPr>
        <w:t xml:space="preserve"> and Hochberg.</w:t>
      </w:r>
    </w:p>
    <w:p w14:paraId="091951CD" w14:textId="77777777" w:rsidR="00B02684" w:rsidRDefault="00B02684" w:rsidP="00111A9E">
      <w:pPr>
        <w:spacing w:after="0" w:line="360" w:lineRule="auto"/>
        <w:rPr>
          <w:b/>
          <w:lang w:val="en-US"/>
        </w:rPr>
      </w:pPr>
    </w:p>
    <w:p w14:paraId="2B63D2E1" w14:textId="77777777" w:rsidR="00B02684" w:rsidRPr="00411716" w:rsidRDefault="00B02684" w:rsidP="00111A9E">
      <w:pPr>
        <w:spacing w:after="0" w:line="360" w:lineRule="auto"/>
        <w:jc w:val="center"/>
        <w:rPr>
          <w:i/>
          <w:lang w:val="en-US"/>
        </w:rPr>
      </w:pPr>
      <w:r w:rsidRPr="00411716">
        <w:rPr>
          <w:b/>
          <w:i/>
          <w:lang w:val="en-US"/>
        </w:rPr>
        <w:t>Note:</w:t>
      </w:r>
      <w:r w:rsidRPr="00411716">
        <w:rPr>
          <w:i/>
          <w:lang w:val="en-US"/>
        </w:rPr>
        <w:t xml:space="preserve"> because of their large size, supplementary tables are provided as separate Excel files.</w:t>
      </w:r>
    </w:p>
    <w:p w14:paraId="2F9DDE6D" w14:textId="77777777" w:rsidR="00B02684" w:rsidRDefault="00B02684" w:rsidP="00111A9E">
      <w:pPr>
        <w:spacing w:after="0" w:line="360" w:lineRule="auto"/>
        <w:rPr>
          <w:b/>
          <w:lang w:val="en-US"/>
        </w:rPr>
      </w:pPr>
      <w:r>
        <w:rPr>
          <w:lang w:val="en-US"/>
        </w:rPr>
        <w:br w:type="page"/>
      </w:r>
    </w:p>
    <w:p w14:paraId="566AC986" w14:textId="77777777" w:rsidR="00B02684" w:rsidRPr="00F67970" w:rsidRDefault="00B02684" w:rsidP="00111A9E">
      <w:pPr>
        <w:pStyle w:val="Heading1"/>
        <w:spacing w:line="360" w:lineRule="auto"/>
        <w:rPr>
          <w:lang w:val="en-US"/>
        </w:rPr>
      </w:pPr>
      <w:r>
        <w:rPr>
          <w:lang w:val="en-US"/>
        </w:rPr>
        <w:lastRenderedPageBreak/>
        <w:t>Supplementary notes</w:t>
      </w:r>
    </w:p>
    <w:p w14:paraId="59C1EFEC" w14:textId="7C3D6C0F" w:rsidR="00B02684" w:rsidRDefault="00B02684" w:rsidP="00111A9E">
      <w:pPr>
        <w:spacing w:line="360" w:lineRule="auto"/>
        <w:rPr>
          <w:lang w:val="en-US"/>
        </w:rPr>
      </w:pPr>
      <w:proofErr w:type="gramStart"/>
      <w:r w:rsidRPr="00411716">
        <w:rPr>
          <w:b/>
          <w:lang w:val="en-US"/>
        </w:rPr>
        <w:t>Quality-control for gut microbiome survey.</w:t>
      </w:r>
      <w:proofErr w:type="gramEnd"/>
      <w:r>
        <w:rPr>
          <w:lang w:val="en-US"/>
        </w:rPr>
        <w:t xml:space="preserve"> G</w:t>
      </w:r>
      <w:r w:rsidRPr="00F67970">
        <w:rPr>
          <w:lang w:val="en-US"/>
        </w:rPr>
        <w:t xml:space="preserve">ut </w:t>
      </w:r>
      <w:r>
        <w:rPr>
          <w:lang w:val="en-US"/>
        </w:rPr>
        <w:t>bacteria</w:t>
      </w:r>
      <w:r w:rsidRPr="00F67970">
        <w:rPr>
          <w:lang w:val="en-US"/>
        </w:rPr>
        <w:t xml:space="preserve"> w</w:t>
      </w:r>
      <w:r>
        <w:rPr>
          <w:lang w:val="en-US"/>
        </w:rPr>
        <w:t>ere</w:t>
      </w:r>
      <w:r w:rsidRPr="00F67970">
        <w:rPr>
          <w:lang w:val="en-US"/>
        </w:rPr>
        <w:t xml:space="preserve"> surveyed by amplification and sequencing of the fourth </w:t>
      </w:r>
      <w:proofErr w:type="spellStart"/>
      <w:r w:rsidRPr="00F67970">
        <w:rPr>
          <w:lang w:val="en-US"/>
        </w:rPr>
        <w:t>hypervariable</w:t>
      </w:r>
      <w:proofErr w:type="spellEnd"/>
      <w:r w:rsidRPr="00F67970">
        <w:rPr>
          <w:lang w:val="en-US"/>
        </w:rPr>
        <w:t xml:space="preserve"> region (V4) of the 16S ribosomal RNA subunit gene from each fecal sample. Sequence reads were binned into operational taxonomic units (OTUs) which were identified to the taxonomic rank of family. Adequacy of sequencing depth was assessed </w:t>
      </w:r>
      <w:r>
        <w:rPr>
          <w:lang w:val="en-US"/>
        </w:rPr>
        <w:t>using</w:t>
      </w:r>
      <w:r w:rsidRPr="00F67970">
        <w:rPr>
          <w:lang w:val="en-US"/>
        </w:rPr>
        <w:t xml:space="preserve"> rarefaction curves (</w:t>
      </w:r>
      <w:r>
        <w:rPr>
          <w:b/>
          <w:lang w:val="en-US"/>
        </w:rPr>
        <w:t>Figure S7</w:t>
      </w:r>
      <w:r w:rsidRPr="00F67970">
        <w:rPr>
          <w:lang w:val="en-US"/>
        </w:rPr>
        <w:t>); a median 15</w:t>
      </w:r>
      <w:r>
        <w:rPr>
          <w:lang w:val="en-US"/>
        </w:rPr>
        <w:t>,</w:t>
      </w:r>
      <w:r w:rsidRPr="00F67970">
        <w:rPr>
          <w:lang w:val="en-US"/>
        </w:rPr>
        <w:t xml:space="preserve">461 unique template sequences </w:t>
      </w:r>
      <w:r w:rsidRPr="00F67970">
        <w:rPr>
          <w:lang w:val="en-US"/>
        </w:rPr>
        <w:fldChar w:fldCharType="begin" w:fldLock="1"/>
      </w:r>
      <w:r>
        <w:rPr>
          <w:lang w:val="en-US"/>
        </w:rPr>
        <w:instrText>ADDIN CSL_CITATION { "citationItems" : [ { "id" : "ITEM-1", "itemData" : { "DOI" : "10.1038/nmeth.2634", "ISSN" : "1548-7105", "PMID" : "23995388", "abstract" : "We describe improvements for sequencing 16S ribosomal RNA (rRNA) amplicons, a cornerstone technique in metagenomics. Through unique tagging of template molecules before PCR, amplicon sequences can be mapped to their original templates to correct amplification bias and sequencing error with software we provide. PCR clamps block amplification of contaminating sequences from a eukaryotic host, thereby substantially enriching microbial sequences without introducing bias.", "author" : [ { "dropping-particle" : "", "family" : "Lundberg", "given" : "Derek S", "non-dropping-particle" : "", "parse-names" : false, "suffix" : "" }, { "dropping-particle" : "", "family" : "Yourstone", "given" : "Scott", "non-dropping-particle" : "", "parse-names" : false, "suffix" : "" }, { "dropping-particle" : "", "family" : "Mieczkowski", "given" : "Piotr", "non-dropping-particle" : "", "parse-names" : false, "suffix" : "" }, { "dropping-particle" : "", "family" : "Jones", "given" : "Corbin D", "non-dropping-particle" : "", "parse-names" : false, "suffix" : "" }, { "dropping-particle" : "", "family" : "Dangl", "given" : "Jeffery L", "non-dropping-particle" : "", "parse-names" : false, "suffix" : "" } ], "container-title" : "Nat Methods", "id" : "ITEM-1", "issue" : "10", "issued" : { "date-parts" : [ [ "2013", "10" ] ] }, "page" : "999-1002", "title" : "Practical innovations for high-throughput amplicon sequencing.", "type" : "article-journal", "volume" : "10" }, "uris" : [ "http://www.mendeley.com/documents/?uuid=81115ee4-fdab-4b5f-b106-d471471e11d7" ] } ], "mendeley" : { "previouslyFormattedCitation" : "(&lt;i&gt;52&lt;/i&gt;)" }, "properties" : { "noteIndex" : 0 }, "schema" : "https://github.com/citation-style-language/schema/raw/master/csl-citation.json" }</w:instrText>
      </w:r>
      <w:r w:rsidRPr="00F67970">
        <w:rPr>
          <w:lang w:val="en-US"/>
        </w:rPr>
        <w:fldChar w:fldCharType="separate"/>
      </w:r>
      <w:r w:rsidRPr="00D516CE">
        <w:rPr>
          <w:noProof/>
          <w:lang w:val="en-US"/>
        </w:rPr>
        <w:t>(</w:t>
      </w:r>
      <w:r w:rsidRPr="00D516CE">
        <w:rPr>
          <w:i/>
          <w:noProof/>
          <w:lang w:val="en-US"/>
        </w:rPr>
        <w:t>52</w:t>
      </w:r>
      <w:r w:rsidRPr="00D516CE">
        <w:rPr>
          <w:noProof/>
          <w:lang w:val="en-US"/>
        </w:rPr>
        <w:t>)</w:t>
      </w:r>
      <w:r w:rsidRPr="00F67970">
        <w:rPr>
          <w:lang w:val="en-US"/>
        </w:rPr>
        <w:fldChar w:fldCharType="end"/>
      </w:r>
      <w:r w:rsidRPr="00F67970">
        <w:rPr>
          <w:lang w:val="en-US"/>
        </w:rPr>
        <w:t xml:space="preserve"> were identified per sample (range 6997</w:t>
      </w:r>
      <w:r w:rsidRPr="000E581F">
        <w:rPr>
          <w:lang w:val="en-US"/>
        </w:rPr>
        <w:t xml:space="preserve"> </w:t>
      </w:r>
      <w:r>
        <w:rPr>
          <w:lang w:val="en-US"/>
        </w:rPr>
        <w:t>–</w:t>
      </w:r>
      <w:r w:rsidRPr="000E581F">
        <w:rPr>
          <w:lang w:val="en-US"/>
        </w:rPr>
        <w:t xml:space="preserve"> </w:t>
      </w:r>
      <w:r w:rsidRPr="00F67970">
        <w:rPr>
          <w:lang w:val="en-US"/>
        </w:rPr>
        <w:t>32</w:t>
      </w:r>
      <w:r w:rsidR="002162E5">
        <w:rPr>
          <w:lang w:val="en-US"/>
        </w:rPr>
        <w:t xml:space="preserve"> </w:t>
      </w:r>
      <w:r w:rsidRPr="00F67970">
        <w:rPr>
          <w:lang w:val="en-US"/>
        </w:rPr>
        <w:t xml:space="preserve">552). A total of 8067 OTUs were identified across all samples (displayed on the phylogenetic tree in </w:t>
      </w:r>
      <w:r>
        <w:rPr>
          <w:b/>
          <w:lang w:val="en-US"/>
        </w:rPr>
        <w:t>Figure S8</w:t>
      </w:r>
      <w:r w:rsidRPr="00411716">
        <w:rPr>
          <w:lang w:val="en-US"/>
        </w:rPr>
        <w:t>.)</w:t>
      </w:r>
      <w:r w:rsidRPr="00F67970">
        <w:rPr>
          <w:lang w:val="en-US"/>
        </w:rPr>
        <w:t xml:space="preserve"> Of these, a median 612 (range 407</w:t>
      </w:r>
      <w:r w:rsidRPr="000E581F">
        <w:rPr>
          <w:lang w:val="en-US"/>
        </w:rPr>
        <w:t xml:space="preserve"> </w:t>
      </w:r>
      <w:r>
        <w:rPr>
          <w:lang w:val="en-US"/>
        </w:rPr>
        <w:t>–</w:t>
      </w:r>
      <w:r w:rsidRPr="000E581F">
        <w:rPr>
          <w:lang w:val="en-US"/>
        </w:rPr>
        <w:t xml:space="preserve"> </w:t>
      </w:r>
      <w:r w:rsidRPr="00F67970">
        <w:rPr>
          <w:lang w:val="en-US"/>
        </w:rPr>
        <w:t xml:space="preserve">1010) were present in any given sample. Sample metadata </w:t>
      </w:r>
      <w:r>
        <w:rPr>
          <w:lang w:val="en-US"/>
        </w:rPr>
        <w:t>are</w:t>
      </w:r>
      <w:r w:rsidRPr="00F67970">
        <w:rPr>
          <w:lang w:val="en-US"/>
        </w:rPr>
        <w:t xml:space="preserve"> provided in </w:t>
      </w:r>
      <w:r>
        <w:rPr>
          <w:b/>
          <w:lang w:val="en-US"/>
        </w:rPr>
        <w:t>Table S1</w:t>
      </w:r>
      <w:r w:rsidRPr="00F67970">
        <w:rPr>
          <w:lang w:val="en-US"/>
        </w:rPr>
        <w:t xml:space="preserve">, the </w:t>
      </w:r>
      <w:proofErr w:type="spellStart"/>
      <w:r w:rsidRPr="00F67970">
        <w:rPr>
          <w:lang w:val="en-US"/>
        </w:rPr>
        <w:t>unrarefied</w:t>
      </w:r>
      <w:proofErr w:type="spellEnd"/>
      <w:r w:rsidRPr="00F67970">
        <w:rPr>
          <w:lang w:val="en-US"/>
        </w:rPr>
        <w:t xml:space="preserve"> OTU abundance matrix in </w:t>
      </w:r>
      <w:r>
        <w:rPr>
          <w:b/>
          <w:lang w:val="en-US"/>
        </w:rPr>
        <w:t>Table S2</w:t>
      </w:r>
      <w:r w:rsidRPr="00F67970">
        <w:rPr>
          <w:lang w:val="en-US"/>
        </w:rPr>
        <w:t xml:space="preserve"> and taxonomic assignments for each OTU in </w:t>
      </w:r>
      <w:r>
        <w:rPr>
          <w:b/>
          <w:lang w:val="en-US"/>
        </w:rPr>
        <w:t>Table S3</w:t>
      </w:r>
      <w:r w:rsidRPr="00F67970">
        <w:rPr>
          <w:lang w:val="en-US"/>
        </w:rPr>
        <w:t>.</w:t>
      </w:r>
    </w:p>
    <w:p w14:paraId="001E0D33" w14:textId="77777777" w:rsidR="00B02684" w:rsidRDefault="00B02684" w:rsidP="00111A9E">
      <w:pPr>
        <w:spacing w:before="200" w:line="360" w:lineRule="auto"/>
        <w:rPr>
          <w:lang w:val="en-US"/>
        </w:rPr>
      </w:pPr>
      <w:proofErr w:type="gramStart"/>
      <w:r w:rsidRPr="00411716">
        <w:rPr>
          <w:b/>
          <w:lang w:val="en-US"/>
        </w:rPr>
        <w:t>Assessment of between-samples (</w:t>
      </w:r>
      <w:r w:rsidRPr="00411716">
        <w:rPr>
          <w:rFonts w:ascii="Times New Roman" w:hAnsi="Times New Roman" w:cs="Times New Roman" w:hint="eastAsia"/>
          <w:b/>
          <w:i/>
          <w:lang w:val="en-US"/>
        </w:rPr>
        <w:t>β</w:t>
      </w:r>
      <w:r w:rsidRPr="00411716">
        <w:rPr>
          <w:b/>
          <w:lang w:val="en-US"/>
        </w:rPr>
        <w:t>) microbial diversity.</w:t>
      </w:r>
      <w:proofErr w:type="gramEnd"/>
      <w:r>
        <w:rPr>
          <w:lang w:val="en-US"/>
        </w:rPr>
        <w:t xml:space="preserve"> Both the weighted and the </w:t>
      </w:r>
      <w:proofErr w:type="spellStart"/>
      <w:r w:rsidRPr="00F67970">
        <w:rPr>
          <w:lang w:val="en-US"/>
        </w:rPr>
        <w:t>unweighted</w:t>
      </w:r>
      <w:proofErr w:type="spellEnd"/>
      <w:r w:rsidRPr="00F67970">
        <w:rPr>
          <w:lang w:val="en-US"/>
        </w:rPr>
        <w:t xml:space="preserve"> </w:t>
      </w:r>
      <w:proofErr w:type="spellStart"/>
      <w:r w:rsidRPr="00F67970">
        <w:rPr>
          <w:lang w:val="en-US"/>
        </w:rPr>
        <w:t>UniFrac</w:t>
      </w:r>
      <w:proofErr w:type="spellEnd"/>
      <w:r w:rsidRPr="00F67970">
        <w:rPr>
          <w:lang w:val="en-US"/>
        </w:rPr>
        <w:t xml:space="preserve"> </w:t>
      </w:r>
      <w:r>
        <w:rPr>
          <w:lang w:val="en-US"/>
        </w:rPr>
        <w:t xml:space="preserve">metrics were used to examine patterns of between-sample diversity in gut microbiome composition.  Weighted </w:t>
      </w:r>
      <w:proofErr w:type="spellStart"/>
      <w:r>
        <w:rPr>
          <w:lang w:val="en-US"/>
        </w:rPr>
        <w:t>UniFrac</w:t>
      </w:r>
      <w:proofErr w:type="spellEnd"/>
      <w:r>
        <w:rPr>
          <w:lang w:val="en-US"/>
        </w:rPr>
        <w:t xml:space="preserve"> results, which are sensitive to both presence/absence and relative abundance of OTUs, are presented in the main text.  The </w:t>
      </w:r>
      <w:proofErr w:type="spellStart"/>
      <w:r>
        <w:rPr>
          <w:lang w:val="en-US"/>
        </w:rPr>
        <w:t>unweighted</w:t>
      </w:r>
      <w:proofErr w:type="spellEnd"/>
      <w:r>
        <w:rPr>
          <w:lang w:val="en-US"/>
        </w:rPr>
        <w:t xml:space="preserve"> </w:t>
      </w:r>
      <w:proofErr w:type="spellStart"/>
      <w:r>
        <w:rPr>
          <w:lang w:val="en-US"/>
        </w:rPr>
        <w:t>UniFrac</w:t>
      </w:r>
      <w:proofErr w:type="spellEnd"/>
      <w:r>
        <w:rPr>
          <w:lang w:val="en-US"/>
        </w:rPr>
        <w:t xml:space="preserve"> </w:t>
      </w:r>
      <w:r w:rsidRPr="00F67970">
        <w:rPr>
          <w:lang w:val="en-US"/>
        </w:rPr>
        <w:t xml:space="preserve">distance matrix, which takes into account only the presence or absence of each OTU in each sample, was </w:t>
      </w:r>
      <w:r>
        <w:rPr>
          <w:lang w:val="en-US"/>
        </w:rPr>
        <w:t xml:space="preserve">also </w:t>
      </w:r>
      <w:r w:rsidRPr="00F67970">
        <w:rPr>
          <w:lang w:val="en-US"/>
        </w:rPr>
        <w:t xml:space="preserve">subjected to non-metric multidimensional scaling </w:t>
      </w:r>
      <w:r w:rsidRPr="00F67970">
        <w:rPr>
          <w:lang w:val="en-US"/>
        </w:rPr>
        <w:fldChar w:fldCharType="begin" w:fldLock="1"/>
      </w:r>
      <w:r>
        <w:rPr>
          <w:lang w:val="en-US"/>
        </w:rPr>
        <w:instrText>ADDIN CSL_CITATION { "citationItems" : [ { "id" : "ITEM-1", "itemData" : { "author" : [ { "dropping-particle" : "", "family" : "Venables", "given" : "W N", "non-dropping-particle" : "", "parse-names" : false, "suffix" : "" }, { "dropping-particle" : "", "family" : "Ripley", "given" : "B D", "non-dropping-particle" : "", "parse-names" : false, "suffix" : "" } ], "edition" : "Fourth", "id" : "ITEM-1", "issued" : { "date-parts" : [ [ "2002" ] ] }, "note" : "ISBN 0-387-95457-0", "publisher" : "Springer", "publisher-place" : "New York", "title" : "Modern Applied Statistics with S", "type" : "book" }, "uris" : [ "http://www.mendeley.com/documents/?uuid=547642cf-d896-4a78-ab6d-cb32ca1e60ee" ] } ], "mendeley" : { "previouslyFormattedCitation" : "(&lt;i&gt;58&lt;/i&gt;)" }, "properties" : { "noteIndex" : 0 }, "schema" : "https://github.com/citation-style-language/schema/raw/master/csl-citation.json" }</w:instrText>
      </w:r>
      <w:r w:rsidRPr="00F67970">
        <w:rPr>
          <w:lang w:val="en-US"/>
        </w:rPr>
        <w:fldChar w:fldCharType="separate"/>
      </w:r>
      <w:r w:rsidRPr="00D516CE">
        <w:rPr>
          <w:noProof/>
          <w:lang w:val="en-US"/>
        </w:rPr>
        <w:t>(</w:t>
      </w:r>
      <w:r w:rsidRPr="00D516CE">
        <w:rPr>
          <w:i/>
          <w:noProof/>
          <w:lang w:val="en-US"/>
        </w:rPr>
        <w:t>58</w:t>
      </w:r>
      <w:r w:rsidRPr="00D516CE">
        <w:rPr>
          <w:noProof/>
          <w:lang w:val="en-US"/>
        </w:rPr>
        <w:t>)</w:t>
      </w:r>
      <w:r w:rsidRPr="00F67970">
        <w:rPr>
          <w:lang w:val="en-US"/>
        </w:rPr>
        <w:fldChar w:fldCharType="end"/>
      </w:r>
      <w:r w:rsidRPr="00F67970">
        <w:rPr>
          <w:lang w:val="en-US"/>
        </w:rPr>
        <w:t xml:space="preserve"> and two axes explain</w:t>
      </w:r>
      <w:r>
        <w:rPr>
          <w:lang w:val="en-US"/>
        </w:rPr>
        <w:t>ed</w:t>
      </w:r>
      <w:r w:rsidRPr="00F67970">
        <w:rPr>
          <w:lang w:val="en-US"/>
        </w:rPr>
        <w:t xml:space="preserve"> 98% of variance in microbial community composition (</w:t>
      </w:r>
      <w:r>
        <w:rPr>
          <w:b/>
          <w:lang w:val="en-US"/>
        </w:rPr>
        <w:t>Figure S5</w:t>
      </w:r>
      <w:r w:rsidRPr="00F67970">
        <w:rPr>
          <w:lang w:val="en-US"/>
        </w:rPr>
        <w:t xml:space="preserve">). Effects of experimental covariates were assessed by </w:t>
      </w:r>
      <w:proofErr w:type="spellStart"/>
      <w:r w:rsidRPr="00F67970">
        <w:rPr>
          <w:lang w:val="en-US"/>
        </w:rPr>
        <w:t>permutational</w:t>
      </w:r>
      <w:proofErr w:type="spellEnd"/>
      <w:r w:rsidRPr="00F67970">
        <w:rPr>
          <w:lang w:val="en-US"/>
        </w:rPr>
        <w:t xml:space="preserve"> non-parametric multivariate ANOVA (PERMANOVA) </w:t>
      </w:r>
      <w:r w:rsidRPr="00F67970">
        <w:rPr>
          <w:lang w:val="en-US"/>
        </w:rPr>
        <w:fldChar w:fldCharType="begin" w:fldLock="1"/>
      </w:r>
      <w:r>
        <w:rPr>
          <w:lang w:val="en-US"/>
        </w:rPr>
        <w:instrText>ADDIN CSL_CITATION { "citationItems" : [ { "id" : "ITEM-1", "itemData" : { "author" : [ { "dropping-particle" : "", "family" : "Anderson", "given" : "Marti J", "non-dropping-particle" : "", "parse-names" : false, "suffix" : "" } ], "container-title" : "Austral Ecology", "id" : "ITEM-1", "issue" : "1", "issued" : { "date-parts" : [ [ "2001" ] ] }, "page" : "32-46", "title" : "A new method for non-parametric multivariate analysis of variance", "type" : "article-journal", "volume" : "26" }, "uris" : [ "http://www.mendeley.com/documents/?uuid=9a6fa747-49af-4a36-a44b-6220cddab224" ] } ], "mendeley" : { "previouslyFormattedCitation" : "(&lt;i&gt;57&lt;/i&gt;)" }, "properties" : { "noteIndex" : 0 }, "schema" : "https://github.com/citation-style-language/schema/raw/master/csl-citation.json" }</w:instrText>
      </w:r>
      <w:r w:rsidRPr="00F67970">
        <w:rPr>
          <w:lang w:val="en-US"/>
        </w:rPr>
        <w:fldChar w:fldCharType="separate"/>
      </w:r>
      <w:r w:rsidRPr="00D516CE">
        <w:rPr>
          <w:noProof/>
          <w:lang w:val="en-US"/>
        </w:rPr>
        <w:t>(</w:t>
      </w:r>
      <w:r w:rsidRPr="00D516CE">
        <w:rPr>
          <w:i/>
          <w:noProof/>
          <w:lang w:val="en-US"/>
        </w:rPr>
        <w:t>57</w:t>
      </w:r>
      <w:r w:rsidRPr="00D516CE">
        <w:rPr>
          <w:noProof/>
          <w:lang w:val="en-US"/>
        </w:rPr>
        <w:t>)</w:t>
      </w:r>
      <w:r w:rsidRPr="00F67970">
        <w:rPr>
          <w:lang w:val="en-US"/>
        </w:rPr>
        <w:fldChar w:fldCharType="end"/>
      </w:r>
      <w:r w:rsidRPr="00F67970">
        <w:rPr>
          <w:lang w:val="en-US"/>
        </w:rPr>
        <w:t xml:space="preserve"> and the results are shown in</w:t>
      </w:r>
      <w:r w:rsidRPr="00F67970">
        <w:rPr>
          <w:b/>
          <w:lang w:val="en-US"/>
        </w:rPr>
        <w:t xml:space="preserve"> </w:t>
      </w:r>
      <w:r>
        <w:rPr>
          <w:b/>
          <w:lang w:val="en-US"/>
        </w:rPr>
        <w:t>Table 1</w:t>
      </w:r>
      <w:r w:rsidRPr="00F67970">
        <w:rPr>
          <w:lang w:val="en-US"/>
        </w:rPr>
        <w:t xml:space="preserve">. The effect of the high-fat diet was most pronounced, accounting for 16.5% of variance (permutation </w:t>
      </w:r>
      <w:r w:rsidRPr="00F67970">
        <w:rPr>
          <w:i/>
          <w:lang w:val="en-US"/>
        </w:rPr>
        <w:t>p</w:t>
      </w:r>
      <w:r w:rsidRPr="00F67970">
        <w:rPr>
          <w:lang w:val="en-US"/>
        </w:rPr>
        <w:t xml:space="preserve"> &lt; 1.00 × 10</w:t>
      </w:r>
      <w:r w:rsidRPr="00F67970">
        <w:rPr>
          <w:vertAlign w:val="superscript"/>
          <w:lang w:val="en-US"/>
        </w:rPr>
        <w:t>-4</w:t>
      </w:r>
      <w:r w:rsidRPr="00F67970">
        <w:rPr>
          <w:lang w:val="en-US"/>
        </w:rPr>
        <w:t xml:space="preserve">). The effect of olanzapine treatment was also significant and accounted for 1.4% of variance (permutation </w:t>
      </w:r>
      <w:r w:rsidRPr="00F67970">
        <w:rPr>
          <w:i/>
          <w:lang w:val="en-US"/>
        </w:rPr>
        <w:t>p</w:t>
      </w:r>
      <w:r w:rsidRPr="00F67970">
        <w:rPr>
          <w:lang w:val="en-US"/>
        </w:rPr>
        <w:t xml:space="preserve"> = 0.021). Both effects were highly variable between </w:t>
      </w:r>
      <w:r>
        <w:rPr>
          <w:lang w:val="en-US"/>
        </w:rPr>
        <w:t>mice (</w:t>
      </w:r>
      <w:r>
        <w:rPr>
          <w:b/>
          <w:lang w:val="en-US"/>
        </w:rPr>
        <w:t>Figure S5</w:t>
      </w:r>
      <w:r>
        <w:rPr>
          <w:lang w:val="en-US"/>
        </w:rPr>
        <w:t>)</w:t>
      </w:r>
      <w:r w:rsidRPr="00F67970">
        <w:rPr>
          <w:lang w:val="en-US"/>
        </w:rPr>
        <w:t xml:space="preserve">. Cage and temporal effects, nuisance covariates in our experiment, accounted for 14.3% of variance. Within-groups dispersion was greater among observations on high-fat diet </w:t>
      </w:r>
      <w:r w:rsidRPr="00F67970">
        <w:rPr>
          <w:i/>
          <w:lang w:val="en-US"/>
        </w:rPr>
        <w:t>vs.</w:t>
      </w:r>
      <w:r w:rsidRPr="00F67970">
        <w:rPr>
          <w:lang w:val="en-US"/>
        </w:rPr>
        <w:t xml:space="preserve"> regular chow (</w:t>
      </w:r>
      <w:r w:rsidRPr="00F67970">
        <w:rPr>
          <w:i/>
          <w:lang w:val="en-US"/>
        </w:rPr>
        <w:t>p</w:t>
      </w:r>
      <w:r w:rsidRPr="00F67970">
        <w:rPr>
          <w:lang w:val="en-US"/>
        </w:rPr>
        <w:t xml:space="preserve"> = 1.0 × 10</w:t>
      </w:r>
      <w:r w:rsidRPr="00F67970">
        <w:rPr>
          <w:vertAlign w:val="superscript"/>
          <w:lang w:val="en-US"/>
        </w:rPr>
        <w:t>-5</w:t>
      </w:r>
      <w:r w:rsidRPr="00F67970">
        <w:rPr>
          <w:lang w:val="en-US"/>
        </w:rPr>
        <w:t>).</w:t>
      </w:r>
    </w:p>
    <w:p w14:paraId="1BED168D" w14:textId="29B241DA" w:rsidR="00B02684" w:rsidRDefault="00B02684" w:rsidP="00111A9E">
      <w:pPr>
        <w:spacing w:line="360" w:lineRule="auto"/>
        <w:rPr>
          <w:lang w:val="en-US"/>
        </w:rPr>
      </w:pPr>
      <w:r w:rsidRPr="00411716">
        <w:rPr>
          <w:b/>
          <w:lang w:val="en-US"/>
        </w:rPr>
        <w:t>Modelling abundance of specific OTUs.</w:t>
      </w:r>
      <w:r>
        <w:rPr>
          <w:lang w:val="en-US"/>
        </w:rPr>
        <w:t xml:space="preserve"> </w:t>
      </w:r>
      <w:r w:rsidRPr="009F7572">
        <w:rPr>
          <w:lang w:val="en-US"/>
        </w:rPr>
        <w:t xml:space="preserve">Like many other techniques that rely on high-throughput tag sequencing, 16S </w:t>
      </w:r>
      <w:proofErr w:type="spellStart"/>
      <w:r w:rsidRPr="009F7572">
        <w:rPr>
          <w:lang w:val="en-US"/>
        </w:rPr>
        <w:t>rDNA</w:t>
      </w:r>
      <w:proofErr w:type="spellEnd"/>
      <w:r w:rsidRPr="009F7572">
        <w:rPr>
          <w:lang w:val="en-US"/>
        </w:rPr>
        <w:t>-based microbiome surveys are subject to biases arising due to very sparse sampling and differential sequencing depth across s</w:t>
      </w:r>
      <w:r>
        <w:rPr>
          <w:lang w:val="en-US"/>
        </w:rPr>
        <w:t>amples. In order to miti</w:t>
      </w:r>
      <w:r w:rsidRPr="009F7572">
        <w:rPr>
          <w:lang w:val="en-US"/>
        </w:rPr>
        <w:t>gate these biases raw OTU counts were normalized prior to testing for significant differences in absolute abundance between samples. For this purpose we used the dynamic-</w:t>
      </w:r>
      <w:proofErr w:type="spellStart"/>
      <w:r w:rsidRPr="009F7572">
        <w:rPr>
          <w:lang w:val="en-US"/>
        </w:rPr>
        <w:t>quantile</w:t>
      </w:r>
      <w:proofErr w:type="spellEnd"/>
      <w:r w:rsidRPr="009F7572">
        <w:rPr>
          <w:lang w:val="en-US"/>
        </w:rPr>
        <w:t xml:space="preserve"> norma</w:t>
      </w:r>
      <w:r>
        <w:rPr>
          <w:lang w:val="en-US"/>
        </w:rPr>
        <w:t xml:space="preserve">lization method </w:t>
      </w:r>
      <w:r w:rsidRPr="009F7572">
        <w:rPr>
          <w:lang w:val="en-US"/>
        </w:rPr>
        <w:t xml:space="preserve">implemented in the R package </w:t>
      </w:r>
      <w:proofErr w:type="spellStart"/>
      <w:r w:rsidRPr="00411716">
        <w:rPr>
          <w:rFonts w:ascii="Courier New" w:hAnsi="Courier New" w:cs="Courier New"/>
          <w:lang w:val="en-US"/>
        </w:rPr>
        <w:t>metagenomeSeq</w:t>
      </w:r>
      <w:proofErr w:type="spellEnd"/>
      <w:r w:rsidRPr="00411716">
        <w:t xml:space="preserve"> </w:t>
      </w:r>
      <w:r>
        <w:fldChar w:fldCharType="begin" w:fldLock="1"/>
      </w:r>
      <w:r>
        <w:instrText>ADDIN CSL_CITATION { "citationItems" : [ { "id" : "ITEM-1", "itemData" : { "DOI" : "10.1038/nmeth.2658", "ISSN" : "1548-7105", "PMID" : "24076764", "abstract" : "We introduce a methodology to assess differential abundance in sparse high-throughput microbial marker-gene survey data. Our approach, implemented in the metagenomeSeq Bioconductor package, relies on a novel normalization technique and a statistical model that accounts for undersampling-a common feature of large-scale marker-gene studies. Using simulated data and several published microbiota data sets, we show that metagenomeSeq outperforms the tools currently used in this field.", "author" : [ { "dropping-particle" : "", "family" : "Paulson", "given" : "Joseph N", "non-dropping-particle" : "", "parse-names" : false, "suffix" : "" }, { "dropping-particle" : "", "family" : "Stine", "given" : "O Colin", "non-dropping-particle" : "", "parse-names" : false, "suffix" : "" }, { "dropping-particle" : "", "family" : "Bravo", "given" : "H\u00e9ctor Corrada", "non-dropping-particle" : "", "parse-names" : false, "suffix" : "" }, { "dropping-particle" : "", "family" : "Pop", "given" : "Mihai", "non-dropping-particle" : "", "parse-names" : false, "suffix" : "" } ], "container-title" : "Nat Methods", "id" : "ITEM-1", "issued" : { "date-parts" : [ [ "2013", "9", "29" ] ] }, "title" : "Differential abundance analysis for microbial marker-gene surveys.", "type" : "article-journal" }, "uris" : [ "http://www.mendeley.com/documents/?uuid=9f74c732-d88f-44e9-8714-92cf17803479" ] } ], "mendeley" : { "previouslyFormattedCitation" : "(&lt;i&gt;59&lt;/i&gt;)" }, "properties" : { "noteIndex" : 0 }, "schema" : "https://github.com/citation-style-language/schema/raw/master/csl-citation.json" }</w:instrText>
      </w:r>
      <w:r>
        <w:fldChar w:fldCharType="separate"/>
      </w:r>
      <w:r w:rsidRPr="00D516CE">
        <w:rPr>
          <w:noProof/>
        </w:rPr>
        <w:t>(</w:t>
      </w:r>
      <w:r w:rsidRPr="00D516CE">
        <w:rPr>
          <w:i/>
          <w:noProof/>
        </w:rPr>
        <w:t>59</w:t>
      </w:r>
      <w:r w:rsidRPr="00D516CE">
        <w:rPr>
          <w:noProof/>
        </w:rPr>
        <w:t>)</w:t>
      </w:r>
      <w:r>
        <w:fldChar w:fldCharType="end"/>
      </w:r>
      <w:r>
        <w:rPr>
          <w:lang w:val="en-US"/>
        </w:rPr>
        <w:t xml:space="preserve">. </w:t>
      </w:r>
      <w:r w:rsidRPr="009F7572">
        <w:rPr>
          <w:lang w:val="en-US"/>
        </w:rPr>
        <w:t xml:space="preserve">We identified a total of 8067 OTUs across </w:t>
      </w:r>
      <w:r w:rsidRPr="009F7572">
        <w:rPr>
          <w:lang w:val="en-US"/>
        </w:rPr>
        <w:lastRenderedPageBreak/>
        <w:t>96 fecal samples, but only a median of 612 were present in any single sample. In order to avoid biases arising due to separation, we restricted our analysis to 1127 OTUs present (at normalized abundance &gt; 0) in at least 12 samples.</w:t>
      </w:r>
    </w:p>
    <w:p w14:paraId="7186DB77" w14:textId="77777777" w:rsidR="00B02684" w:rsidRDefault="00B02684" w:rsidP="00111A9E">
      <w:pPr>
        <w:spacing w:line="360" w:lineRule="auto"/>
        <w:rPr>
          <w:lang w:val="en-US"/>
        </w:rPr>
      </w:pPr>
      <w:r w:rsidRPr="00F67970">
        <w:rPr>
          <w:lang w:val="en-US"/>
        </w:rPr>
        <w:t>Diet and drug effects at the level of individual OTUs were</w:t>
      </w:r>
      <w:r>
        <w:rPr>
          <w:lang w:val="en-US"/>
        </w:rPr>
        <w:t xml:space="preserve"> then</w:t>
      </w:r>
      <w:r w:rsidRPr="00F67970">
        <w:rPr>
          <w:lang w:val="en-US"/>
        </w:rPr>
        <w:t xml:space="preserve"> assessed using </w:t>
      </w:r>
      <w:r>
        <w:rPr>
          <w:lang w:val="en-US"/>
        </w:rPr>
        <w:t xml:space="preserve">Poisson generalized </w:t>
      </w:r>
      <w:r w:rsidRPr="00F67970">
        <w:rPr>
          <w:lang w:val="en-US"/>
        </w:rPr>
        <w:t>linear mixed-effects models</w:t>
      </w:r>
      <w:r>
        <w:rPr>
          <w:lang w:val="en-US"/>
        </w:rPr>
        <w:t xml:space="preserve"> (GLMMs) in order to accommodate both within-subjects correlation due to the repeated-measures aspect of the experimental design and between-subjects correlation arising from co-housing. Subject and cage were treated as nested random effects, and </w:t>
      </w:r>
      <w:proofErr w:type="spellStart"/>
      <w:r>
        <w:rPr>
          <w:lang w:val="en-US"/>
        </w:rPr>
        <w:t>timepoint</w:t>
      </w:r>
      <w:proofErr w:type="spellEnd"/>
      <w:r>
        <w:rPr>
          <w:lang w:val="en-US"/>
        </w:rPr>
        <w:t xml:space="preserve"> as an additional random effect. Diet and drug were treated as fixed effects. The hypotheses of no diet effect and no drug effect were tested via standard likelihood-ratio tests with degrees of freedom adjusted by the </w:t>
      </w:r>
      <w:proofErr w:type="spellStart"/>
      <w:r>
        <w:rPr>
          <w:lang w:val="en-US"/>
        </w:rPr>
        <w:t>Kenward</w:t>
      </w:r>
      <w:proofErr w:type="spellEnd"/>
      <w:r>
        <w:rPr>
          <w:lang w:val="en-US"/>
        </w:rPr>
        <w:t xml:space="preserve">-Roger approximation </w:t>
      </w:r>
      <w:r>
        <w:rPr>
          <w:lang w:val="en-US"/>
        </w:rPr>
        <w:fldChar w:fldCharType="begin" w:fldLock="1"/>
      </w:r>
      <w:r>
        <w:rPr>
          <w:lang w:val="en-US"/>
        </w:rPr>
        <w:instrText>ADDIN CSL_CITATION { "citationItems" : [ { "id" : "ITEM-1", "itemData" : { "ISSN" : "0006-341X", "PMID" : "9333350", "abstract" : "Restricted maximum likelihood (REML) is now well established as a method for estimating the parameters of the general Gaussian linear model with a structured covariance matrix, in particular for mixed linear models. Conventionally, estimates of precision and inference for fixed effects are based on their asymptotic distribution, which is known to be inadequate for some small-sample problems. In this paper, we present a scaled Wald statistic, together with an F approximation to its sampling distribution, that is shown to perform well in a range of small sample settings. The statistic uses an adjusted estimator of the covariance matrix that has reduced small sample bias. This approach has the advantage that it reproduces both the statistics and F distributions in those settings where the latter is exact, namely for Hotelling T2 type statistics and for analysis of variance F-ratios. The performance of the modified statistics is assessed through simulation studies of four different REML analyses and the methods are illustrated using three examples.", "author" : [ { "dropping-particle" : "", "family" : "Kenward", "given" : "M G", "non-dropping-particle" : "", "parse-names" : false, "suffix" : "" }, { "dropping-particle" : "", "family" : "Roger", "given" : "J H", "non-dropping-particle" : "", "parse-names" : false, "suffix" : "" } ], "container-title" : "Biometrics", "id" : "ITEM-1", "issue" : "3", "issued" : { "date-parts" : [ [ "1997", "9" ] ] }, "page" : "983-997", "title" : "Small sample inference for fixed effects from restricted maximum likelihood.", "type" : "article-journal", "volume" : "53" }, "uris" : [ "http://www.mendeley.com/documents/?uuid=8d64724b-245f-40ac-8791-c80d1edcac7c" ] } ], "mendeley" : { "previouslyFormattedCitation" : "(&lt;i&gt;60&lt;/i&gt;)" }, "properties" : { "noteIndex" : 0 }, "schema" : "https://github.com/citation-style-language/schema/raw/master/csl-citation.json" }</w:instrText>
      </w:r>
      <w:r>
        <w:rPr>
          <w:lang w:val="en-US"/>
        </w:rPr>
        <w:fldChar w:fldCharType="separate"/>
      </w:r>
      <w:r w:rsidRPr="00D516CE">
        <w:rPr>
          <w:noProof/>
          <w:lang w:val="en-US"/>
        </w:rPr>
        <w:t>(</w:t>
      </w:r>
      <w:r w:rsidRPr="00D516CE">
        <w:rPr>
          <w:i/>
          <w:noProof/>
          <w:lang w:val="en-US"/>
        </w:rPr>
        <w:t>60</w:t>
      </w:r>
      <w:r w:rsidRPr="00D516CE">
        <w:rPr>
          <w:noProof/>
          <w:lang w:val="en-US"/>
        </w:rPr>
        <w:t>)</w:t>
      </w:r>
      <w:r>
        <w:rPr>
          <w:lang w:val="en-US"/>
        </w:rPr>
        <w:fldChar w:fldCharType="end"/>
      </w:r>
      <w:r>
        <w:rPr>
          <w:lang w:val="en-US"/>
        </w:rPr>
        <w:t xml:space="preserve"> as implemented in the R package </w:t>
      </w:r>
      <w:proofErr w:type="spellStart"/>
      <w:r w:rsidRPr="00411716">
        <w:rPr>
          <w:rFonts w:ascii="Courier New" w:hAnsi="Courier New" w:cs="Courier New"/>
          <w:lang w:val="en-US"/>
        </w:rPr>
        <w:t>pbkrtest</w:t>
      </w:r>
      <w:proofErr w:type="spellEnd"/>
      <w:r>
        <w:rPr>
          <w:lang w:val="en-US"/>
        </w:rPr>
        <w:t xml:space="preserve"> (</w:t>
      </w:r>
      <w:hyperlink r:id="rId14" w:history="1">
        <w:r w:rsidRPr="00326916">
          <w:rPr>
            <w:rStyle w:val="Hyperlink"/>
            <w:lang w:val="en-US"/>
          </w:rPr>
          <w:t>http://</w:t>
        </w:r>
        <w:r w:rsidRPr="00411716">
          <w:rPr>
            <w:rStyle w:val="Hyperlink"/>
            <w:lang w:val="en-US"/>
          </w:rPr>
          <w:t>cran.r-project.org/web/</w:t>
        </w:r>
        <w:r w:rsidRPr="00411716">
          <w:rPr>
            <w:rStyle w:val="Hyperlink"/>
            <w:bCs/>
            <w:lang w:val="en-US"/>
          </w:rPr>
          <w:t>packages</w:t>
        </w:r>
        <w:r w:rsidRPr="00411716">
          <w:rPr>
            <w:rStyle w:val="Hyperlink"/>
            <w:lang w:val="en-US"/>
          </w:rPr>
          <w:t>/</w:t>
        </w:r>
        <w:r w:rsidRPr="00411716">
          <w:rPr>
            <w:rStyle w:val="Hyperlink"/>
            <w:bCs/>
            <w:lang w:val="en-US"/>
          </w:rPr>
          <w:t>pbkrtest</w:t>
        </w:r>
        <w:r w:rsidRPr="00411716">
          <w:rPr>
            <w:rStyle w:val="Hyperlink"/>
            <w:lang w:val="en-US"/>
          </w:rPr>
          <w:t>/</w:t>
        </w:r>
      </w:hyperlink>
      <w:r>
        <w:rPr>
          <w:lang w:val="en-US"/>
        </w:rPr>
        <w:t>). In the Poisson GLMM framework, coefficients are on the log scale.</w:t>
      </w:r>
    </w:p>
    <w:p w14:paraId="5D9E4DF4" w14:textId="6E1F6BF8" w:rsidR="00B02684" w:rsidRPr="00411716" w:rsidRDefault="00B02684" w:rsidP="00111A9E">
      <w:pPr>
        <w:spacing w:line="360" w:lineRule="auto"/>
        <w:rPr>
          <w:lang w:val="en-US"/>
        </w:rPr>
      </w:pPr>
      <w:r w:rsidRPr="00F67970">
        <w:rPr>
          <w:lang w:val="en-US"/>
        </w:rPr>
        <w:t xml:space="preserve">Of 1127 </w:t>
      </w:r>
      <w:r>
        <w:rPr>
          <w:lang w:val="en-US"/>
        </w:rPr>
        <w:t>testable OTUs</w:t>
      </w:r>
      <w:r w:rsidRPr="00F67970">
        <w:rPr>
          <w:lang w:val="en-US"/>
        </w:rPr>
        <w:t>, 606 (53.8%) were differentially</w:t>
      </w:r>
      <w:r>
        <w:rPr>
          <w:lang w:val="en-US"/>
        </w:rPr>
        <w:t xml:space="preserve"> </w:t>
      </w:r>
      <w:r w:rsidRPr="00F67970">
        <w:rPr>
          <w:lang w:val="en-US"/>
        </w:rPr>
        <w:t>abundant between regular chow and high-fat diet phases and 512 (45.4%) were differentially</w:t>
      </w:r>
      <w:r>
        <w:rPr>
          <w:lang w:val="en-US"/>
        </w:rPr>
        <w:t xml:space="preserve"> </w:t>
      </w:r>
      <w:r w:rsidRPr="00F67970">
        <w:rPr>
          <w:lang w:val="en-US"/>
        </w:rPr>
        <w:t>abundant between high-fat diet-placebo and high-fat diet-olanzapine treatment phases at false discovery rate</w:t>
      </w:r>
      <w:r>
        <w:rPr>
          <w:lang w:val="en-US"/>
        </w:rPr>
        <w:t xml:space="preserve"> (FDR) </w:t>
      </w:r>
      <w:r w:rsidRPr="00517F13">
        <w:rPr>
          <w:rFonts w:ascii="MS Gothic" w:eastAsia="MS Gothic"/>
          <w:color w:val="000000"/>
        </w:rPr>
        <w:t>≤</w:t>
      </w:r>
      <w:r w:rsidRPr="00F67970">
        <w:rPr>
          <w:lang w:val="en-US"/>
        </w:rPr>
        <w:t xml:space="preserve"> 0.05 (</w:t>
      </w:r>
      <w:r>
        <w:rPr>
          <w:b/>
          <w:lang w:val="en-US"/>
        </w:rPr>
        <w:t>Table S4</w:t>
      </w:r>
      <w:r w:rsidRPr="00F67970">
        <w:rPr>
          <w:lang w:val="en-US"/>
        </w:rPr>
        <w:t>).</w:t>
      </w:r>
      <w:r>
        <w:rPr>
          <w:lang w:val="en-US"/>
        </w:rPr>
        <w:t xml:space="preserve"> (Note that an FDR-adjusted </w:t>
      </w:r>
      <w:r w:rsidRPr="00411716">
        <w:rPr>
          <w:i/>
          <w:lang w:val="en-US"/>
        </w:rPr>
        <w:t>p</w:t>
      </w:r>
      <w:r>
        <w:rPr>
          <w:lang w:val="en-US"/>
        </w:rPr>
        <w:t xml:space="preserve">-value is the largest FDR at which the associated nominal </w:t>
      </w:r>
      <w:r w:rsidRPr="00411716">
        <w:rPr>
          <w:i/>
          <w:lang w:val="en-US"/>
        </w:rPr>
        <w:t>p</w:t>
      </w:r>
      <w:r>
        <w:rPr>
          <w:lang w:val="en-US"/>
        </w:rPr>
        <w:t>-value would be declared significant.)</w:t>
      </w:r>
      <w:r w:rsidRPr="00F67970">
        <w:rPr>
          <w:lang w:val="en-US"/>
        </w:rPr>
        <w:t xml:space="preserve"> Class Clostridia was enriched among OTUs with a diet effect (</w:t>
      </w:r>
      <m:oMath>
        <m:sSubSup>
          <m:sSubSupPr>
            <m:ctrlPr>
              <w:rPr>
                <w:rFonts w:ascii="Cambria Math" w:hAnsi="Cambria Math"/>
                <w:i/>
                <w:lang w:val="en-US"/>
              </w:rPr>
            </m:ctrlPr>
          </m:sSubSupPr>
          <m:e>
            <m:r>
              <w:rPr>
                <w:rFonts w:ascii="Cambria Math" w:hAnsi="Cambria Math"/>
                <w:lang w:val="en-US"/>
              </w:rPr>
              <m:t>χ</m:t>
            </m:r>
          </m:e>
          <m:sub>
            <m:r>
              <w:rPr>
                <w:rFonts w:ascii="Cambria Math" w:hAnsi="Cambria Math"/>
                <w:lang w:val="en-US"/>
              </w:rPr>
              <m:t>1</m:t>
            </m:r>
          </m:sub>
          <m:sup>
            <m:r>
              <w:rPr>
                <w:rFonts w:ascii="Cambria Math" w:hAnsi="Cambria Math"/>
                <w:lang w:val="en-US"/>
              </w:rPr>
              <m:t>2</m:t>
            </m:r>
          </m:sup>
        </m:sSubSup>
      </m:oMath>
      <w:r w:rsidRPr="00F67970">
        <w:rPr>
          <w:lang w:val="en-US"/>
        </w:rPr>
        <w:t xml:space="preserve"> = 74.8, </w:t>
      </w:r>
      <w:r>
        <w:rPr>
          <w:lang w:val="en-US"/>
        </w:rPr>
        <w:t>FDR-</w:t>
      </w:r>
      <w:r w:rsidRPr="00F67970">
        <w:rPr>
          <w:lang w:val="en-US"/>
        </w:rPr>
        <w:t xml:space="preserve">adjusted </w:t>
      </w:r>
      <w:r w:rsidRPr="00F67970">
        <w:rPr>
          <w:i/>
          <w:lang w:val="en-US"/>
        </w:rPr>
        <w:t>p</w:t>
      </w:r>
      <w:r w:rsidRPr="00F67970">
        <w:rPr>
          <w:lang w:val="en-US"/>
        </w:rPr>
        <w:t xml:space="preserve"> = 5.90 × 10</w:t>
      </w:r>
      <w:r w:rsidRPr="00F67970">
        <w:rPr>
          <w:vertAlign w:val="superscript"/>
          <w:lang w:val="en-US"/>
        </w:rPr>
        <w:t>-19</w:t>
      </w:r>
      <w:r w:rsidRPr="00F67970">
        <w:rPr>
          <w:lang w:val="en-US"/>
        </w:rPr>
        <w:t>), but no class was enriched to a statistically significant level among OTUs with a drug effect. Pairwise correlations between abundances of the 500 most-variable OTUs over the cour</w:t>
      </w:r>
      <w:bookmarkStart w:id="0" w:name="_GoBack"/>
      <w:bookmarkEnd w:id="0"/>
      <w:r w:rsidRPr="00F67970">
        <w:rPr>
          <w:lang w:val="en-US"/>
        </w:rPr>
        <w:t xml:space="preserve">se of the experiment are visualized as a </w:t>
      </w:r>
      <w:proofErr w:type="spellStart"/>
      <w:r w:rsidRPr="00F67970">
        <w:rPr>
          <w:lang w:val="en-US"/>
        </w:rPr>
        <w:t>heatmap</w:t>
      </w:r>
      <w:proofErr w:type="spellEnd"/>
      <w:r w:rsidRPr="00F67970">
        <w:rPr>
          <w:lang w:val="en-US"/>
        </w:rPr>
        <w:t xml:space="preserve"> in </w:t>
      </w:r>
      <w:r>
        <w:rPr>
          <w:b/>
          <w:lang w:val="en-US"/>
        </w:rPr>
        <w:t>Figure S9</w:t>
      </w:r>
      <w:r w:rsidRPr="00F67970">
        <w:rPr>
          <w:lang w:val="en-US"/>
        </w:rPr>
        <w:t xml:space="preserve"> to reveal potential functional “communities” within the microbiota.</w:t>
      </w:r>
    </w:p>
    <w:p w14:paraId="1D216EDF" w14:textId="77777777" w:rsidR="009F4992" w:rsidRDefault="009F4992" w:rsidP="00111A9E">
      <w:pPr>
        <w:spacing w:line="360" w:lineRule="auto"/>
      </w:pPr>
    </w:p>
    <w:sectPr w:rsidR="009F4992" w:rsidSect="00111A9E">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684"/>
    <w:rsid w:val="000846F9"/>
    <w:rsid w:val="00111A9E"/>
    <w:rsid w:val="00136872"/>
    <w:rsid w:val="00145FA6"/>
    <w:rsid w:val="002162E5"/>
    <w:rsid w:val="00230C12"/>
    <w:rsid w:val="008A3F87"/>
    <w:rsid w:val="009F4992"/>
    <w:rsid w:val="00B02684"/>
    <w:rsid w:val="00CA709A"/>
    <w:rsid w:val="00D96A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91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84"/>
    <w:pPr>
      <w:spacing w:after="200"/>
    </w:pPr>
    <w:rPr>
      <w:rFonts w:ascii="Garamond" w:hAnsi="Garamond"/>
      <w:lang w:val="en-GB"/>
    </w:rPr>
  </w:style>
  <w:style w:type="paragraph" w:styleId="Heading1">
    <w:name w:val="heading 1"/>
    <w:basedOn w:val="Normal"/>
    <w:next w:val="Normal"/>
    <w:link w:val="Heading1Char"/>
    <w:uiPriority w:val="9"/>
    <w:qFormat/>
    <w:rsid w:val="00B02684"/>
    <w:pPr>
      <w:keepNext/>
      <w:spacing w:before="32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684"/>
    <w:rPr>
      <w:rFonts w:ascii="Garamond" w:hAnsi="Garamond"/>
      <w:b/>
      <w:lang w:val="en-GB"/>
    </w:rPr>
  </w:style>
  <w:style w:type="character" w:styleId="Hyperlink">
    <w:name w:val="Hyperlink"/>
    <w:basedOn w:val="DefaultParagraphFont"/>
    <w:uiPriority w:val="99"/>
    <w:unhideWhenUsed/>
    <w:rsid w:val="00B02684"/>
    <w:rPr>
      <w:color w:val="0000FF" w:themeColor="hyperlink"/>
      <w:u w:val="single"/>
    </w:rPr>
  </w:style>
  <w:style w:type="paragraph" w:styleId="BalloonText">
    <w:name w:val="Balloon Text"/>
    <w:basedOn w:val="Normal"/>
    <w:link w:val="BalloonTextChar"/>
    <w:uiPriority w:val="99"/>
    <w:semiHidden/>
    <w:unhideWhenUsed/>
    <w:rsid w:val="00B0268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2684"/>
    <w:rPr>
      <w:rFonts w:ascii="Lucida Grande" w:hAnsi="Lucida Grande" w:cs="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84"/>
    <w:pPr>
      <w:spacing w:after="200"/>
    </w:pPr>
    <w:rPr>
      <w:rFonts w:ascii="Garamond" w:hAnsi="Garamond"/>
      <w:lang w:val="en-GB"/>
    </w:rPr>
  </w:style>
  <w:style w:type="paragraph" w:styleId="Heading1">
    <w:name w:val="heading 1"/>
    <w:basedOn w:val="Normal"/>
    <w:next w:val="Normal"/>
    <w:link w:val="Heading1Char"/>
    <w:uiPriority w:val="9"/>
    <w:qFormat/>
    <w:rsid w:val="00B02684"/>
    <w:pPr>
      <w:keepNext/>
      <w:spacing w:before="32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684"/>
    <w:rPr>
      <w:rFonts w:ascii="Garamond" w:hAnsi="Garamond"/>
      <w:b/>
      <w:lang w:val="en-GB"/>
    </w:rPr>
  </w:style>
  <w:style w:type="character" w:styleId="Hyperlink">
    <w:name w:val="Hyperlink"/>
    <w:basedOn w:val="DefaultParagraphFont"/>
    <w:uiPriority w:val="99"/>
    <w:unhideWhenUsed/>
    <w:rsid w:val="00B02684"/>
    <w:rPr>
      <w:color w:val="0000FF" w:themeColor="hyperlink"/>
      <w:u w:val="single"/>
    </w:rPr>
  </w:style>
  <w:style w:type="paragraph" w:styleId="BalloonText">
    <w:name w:val="Balloon Text"/>
    <w:basedOn w:val="Normal"/>
    <w:link w:val="BalloonTextChar"/>
    <w:uiPriority w:val="99"/>
    <w:semiHidden/>
    <w:unhideWhenUsed/>
    <w:rsid w:val="00B0268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2684"/>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cran.r-project.org/web/packages/pbkr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2875</Words>
  <Characters>16392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UNC</Company>
  <LinksUpToDate>false</LinksUpToDate>
  <CharactersWithSpaces>19229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 Morgan</dc:creator>
  <cp:lastModifiedBy>Andrew Parker Morgan</cp:lastModifiedBy>
  <cp:revision>7</cp:revision>
  <dcterms:created xsi:type="dcterms:W3CDTF">2014-05-10T11:59:00Z</dcterms:created>
  <dcterms:modified xsi:type="dcterms:W3CDTF">2014-07-15T02:15:00Z</dcterms:modified>
</cp:coreProperties>
</file>