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C3" w:rsidRPr="006917A0" w:rsidRDefault="00C220C3" w:rsidP="00C220C3">
      <w:pPr>
        <w:jc w:val="both"/>
        <w:rPr>
          <w:rFonts w:eastAsia="Cambria" w:cs="Cambria"/>
        </w:rPr>
      </w:pPr>
      <w:bookmarkStart w:id="0" w:name="_GoBack"/>
      <w:bookmarkEnd w:id="0"/>
      <w:r w:rsidRPr="006917A0">
        <w:rPr>
          <w:rFonts w:eastAsia="Cambria" w:cs="Cambria"/>
          <w:b/>
        </w:rPr>
        <w:t xml:space="preserve">Table </w:t>
      </w:r>
      <w:r>
        <w:rPr>
          <w:rFonts w:eastAsia="Cambria" w:cs="Cambria"/>
          <w:b/>
        </w:rPr>
        <w:t>S</w:t>
      </w:r>
      <w:r w:rsidR="004277F1">
        <w:rPr>
          <w:rFonts w:eastAsia="Cambria" w:cs="Cambria"/>
          <w:b/>
        </w:rPr>
        <w:t>5</w:t>
      </w:r>
      <w:r w:rsidRPr="006917A0">
        <w:rPr>
          <w:rFonts w:eastAsia="Cambria" w:cs="Cambria"/>
        </w:rPr>
        <w:t xml:space="preserve">  Lower and upper bounds for the global and regional estimates of the number of existing (prevalent) and new (incident) cases of HSV-2 infection in 2012 by sex, in millions, as a function of uncertainty in the underlying HSV-2 prevalence data</w:t>
      </w:r>
    </w:p>
    <w:tbl>
      <w:tblPr>
        <w:tblStyle w:val="TableGrid"/>
        <w:tblW w:w="9039" w:type="dxa"/>
        <w:tblLayout w:type="fixed"/>
        <w:tblLook w:val="04A0" w:firstRow="1" w:lastRow="0" w:firstColumn="1" w:lastColumn="0" w:noHBand="0" w:noVBand="1"/>
      </w:tblPr>
      <w:tblGrid>
        <w:gridCol w:w="2376"/>
        <w:gridCol w:w="1665"/>
        <w:gridCol w:w="1666"/>
        <w:gridCol w:w="1666"/>
        <w:gridCol w:w="1666"/>
      </w:tblGrid>
      <w:tr w:rsidR="00C220C3" w:rsidRPr="006917A0" w:rsidTr="004D0188">
        <w:tc>
          <w:tcPr>
            <w:tcW w:w="9039" w:type="dxa"/>
            <w:gridSpan w:val="5"/>
            <w:shd w:val="clear" w:color="auto" w:fill="auto"/>
            <w:vAlign w:val="center"/>
          </w:tcPr>
          <w:p w:rsidR="00C220C3" w:rsidRPr="006917A0" w:rsidRDefault="00C220C3" w:rsidP="004D0188">
            <w:pPr>
              <w:jc w:val="center"/>
              <w:rPr>
                <w:b/>
                <w:sz w:val="20"/>
                <w:szCs w:val="20"/>
              </w:rPr>
            </w:pPr>
            <w:r w:rsidRPr="006917A0">
              <w:rPr>
                <w:b/>
                <w:sz w:val="20"/>
                <w:szCs w:val="20"/>
              </w:rPr>
              <w:t>Both</w:t>
            </w:r>
          </w:p>
        </w:tc>
      </w:tr>
      <w:tr w:rsidR="00C220C3" w:rsidRPr="006917A0" w:rsidTr="004D0188">
        <w:tc>
          <w:tcPr>
            <w:tcW w:w="2376" w:type="dxa"/>
            <w:vMerge w:val="restart"/>
            <w:shd w:val="clear" w:color="auto" w:fill="auto"/>
            <w:vAlign w:val="center"/>
          </w:tcPr>
          <w:p w:rsidR="00C220C3" w:rsidRPr="006917A0" w:rsidRDefault="00C220C3" w:rsidP="004D0188">
            <w:pPr>
              <w:rPr>
                <w:b/>
                <w:sz w:val="20"/>
                <w:szCs w:val="20"/>
              </w:rPr>
            </w:pPr>
          </w:p>
        </w:tc>
        <w:tc>
          <w:tcPr>
            <w:tcW w:w="3331" w:type="dxa"/>
            <w:gridSpan w:val="2"/>
            <w:shd w:val="clear" w:color="auto" w:fill="auto"/>
            <w:vAlign w:val="center"/>
          </w:tcPr>
          <w:p w:rsidR="00C220C3" w:rsidRPr="006917A0" w:rsidRDefault="00C220C3" w:rsidP="004D0188">
            <w:pPr>
              <w:jc w:val="center"/>
              <w:rPr>
                <w:b/>
                <w:sz w:val="20"/>
                <w:szCs w:val="20"/>
              </w:rPr>
            </w:pPr>
            <w:r w:rsidRPr="006917A0">
              <w:rPr>
                <w:b/>
                <w:sz w:val="20"/>
                <w:szCs w:val="20"/>
              </w:rPr>
              <w:t>Prevalent infection</w:t>
            </w:r>
          </w:p>
        </w:tc>
        <w:tc>
          <w:tcPr>
            <w:tcW w:w="3332" w:type="dxa"/>
            <w:gridSpan w:val="2"/>
            <w:shd w:val="clear" w:color="auto" w:fill="auto"/>
            <w:vAlign w:val="center"/>
          </w:tcPr>
          <w:p w:rsidR="00C220C3" w:rsidRPr="006917A0" w:rsidRDefault="00C220C3" w:rsidP="004D0188">
            <w:pPr>
              <w:jc w:val="center"/>
              <w:rPr>
                <w:b/>
                <w:sz w:val="20"/>
                <w:szCs w:val="20"/>
              </w:rPr>
            </w:pPr>
            <w:r w:rsidRPr="006917A0">
              <w:rPr>
                <w:b/>
                <w:sz w:val="20"/>
                <w:szCs w:val="20"/>
              </w:rPr>
              <w:t>Incident infection</w:t>
            </w:r>
          </w:p>
        </w:tc>
      </w:tr>
      <w:tr w:rsidR="00C220C3" w:rsidRPr="006917A0" w:rsidTr="004D0188">
        <w:tc>
          <w:tcPr>
            <w:tcW w:w="2376" w:type="dxa"/>
            <w:vMerge/>
            <w:tcBorders>
              <w:bottom w:val="single" w:sz="4" w:space="0" w:color="auto"/>
            </w:tcBorders>
            <w:shd w:val="clear" w:color="auto" w:fill="auto"/>
          </w:tcPr>
          <w:p w:rsidR="00C220C3" w:rsidRPr="006917A0" w:rsidRDefault="00C220C3" w:rsidP="004D0188">
            <w:pPr>
              <w:rPr>
                <w:b/>
                <w:sz w:val="20"/>
                <w:szCs w:val="20"/>
              </w:rPr>
            </w:pPr>
          </w:p>
        </w:tc>
        <w:tc>
          <w:tcPr>
            <w:tcW w:w="1665" w:type="dxa"/>
            <w:shd w:val="clear" w:color="auto" w:fill="auto"/>
            <w:vAlign w:val="center"/>
          </w:tcPr>
          <w:p w:rsidR="00C220C3" w:rsidRPr="006917A0" w:rsidRDefault="00C220C3" w:rsidP="004D0188">
            <w:pPr>
              <w:jc w:val="center"/>
              <w:rPr>
                <w:b/>
                <w:sz w:val="20"/>
                <w:szCs w:val="20"/>
              </w:rPr>
            </w:pPr>
            <w:r w:rsidRPr="006917A0">
              <w:rPr>
                <w:b/>
                <w:sz w:val="20"/>
                <w:szCs w:val="20"/>
              </w:rPr>
              <w:t>Lower bound</w:t>
            </w:r>
          </w:p>
        </w:tc>
        <w:tc>
          <w:tcPr>
            <w:tcW w:w="1666" w:type="dxa"/>
            <w:shd w:val="clear" w:color="auto" w:fill="auto"/>
            <w:vAlign w:val="center"/>
          </w:tcPr>
          <w:p w:rsidR="00C220C3" w:rsidRPr="006917A0" w:rsidRDefault="00C220C3" w:rsidP="004D0188">
            <w:pPr>
              <w:jc w:val="center"/>
              <w:rPr>
                <w:b/>
                <w:sz w:val="20"/>
                <w:szCs w:val="20"/>
              </w:rPr>
            </w:pPr>
            <w:r w:rsidRPr="006917A0">
              <w:rPr>
                <w:b/>
                <w:sz w:val="20"/>
                <w:szCs w:val="20"/>
              </w:rPr>
              <w:t>Upper bound</w:t>
            </w:r>
          </w:p>
        </w:tc>
        <w:tc>
          <w:tcPr>
            <w:tcW w:w="1666" w:type="dxa"/>
            <w:shd w:val="clear" w:color="auto" w:fill="auto"/>
            <w:vAlign w:val="center"/>
          </w:tcPr>
          <w:p w:rsidR="00C220C3" w:rsidRPr="006917A0" w:rsidRDefault="00C220C3" w:rsidP="004D0188">
            <w:pPr>
              <w:jc w:val="center"/>
              <w:rPr>
                <w:b/>
                <w:sz w:val="20"/>
                <w:szCs w:val="20"/>
              </w:rPr>
            </w:pPr>
            <w:r w:rsidRPr="006917A0">
              <w:rPr>
                <w:b/>
                <w:sz w:val="20"/>
                <w:szCs w:val="20"/>
              </w:rPr>
              <w:t>Lower bound</w:t>
            </w:r>
          </w:p>
        </w:tc>
        <w:tc>
          <w:tcPr>
            <w:tcW w:w="1666" w:type="dxa"/>
            <w:shd w:val="clear" w:color="auto" w:fill="auto"/>
            <w:vAlign w:val="center"/>
          </w:tcPr>
          <w:p w:rsidR="00C220C3" w:rsidRPr="006917A0" w:rsidRDefault="00C220C3" w:rsidP="004D0188">
            <w:pPr>
              <w:jc w:val="center"/>
              <w:rPr>
                <w:b/>
                <w:sz w:val="20"/>
                <w:szCs w:val="20"/>
              </w:rPr>
            </w:pPr>
            <w:r w:rsidRPr="006917A0">
              <w:rPr>
                <w:b/>
                <w:sz w:val="20"/>
                <w:szCs w:val="20"/>
              </w:rPr>
              <w:t>Upper bound</w:t>
            </w:r>
          </w:p>
        </w:tc>
      </w:tr>
      <w:tr w:rsidR="00C220C3" w:rsidRPr="006917A0" w:rsidTr="004D0188">
        <w:tc>
          <w:tcPr>
            <w:tcW w:w="2376" w:type="dxa"/>
            <w:tcBorders>
              <w:bottom w:val="single" w:sz="4" w:space="0" w:color="auto"/>
            </w:tcBorders>
            <w:shd w:val="clear" w:color="auto" w:fill="auto"/>
          </w:tcPr>
          <w:p w:rsidR="00C220C3" w:rsidRPr="006917A0" w:rsidRDefault="00C220C3" w:rsidP="004D0188">
            <w:pPr>
              <w:rPr>
                <w:b/>
                <w:sz w:val="20"/>
                <w:szCs w:val="20"/>
              </w:rPr>
            </w:pPr>
            <w:r w:rsidRPr="006917A0">
              <w:rPr>
                <w:b/>
                <w:sz w:val="20"/>
                <w:szCs w:val="20"/>
              </w:rPr>
              <w:t>Global total (all)</w:t>
            </w:r>
          </w:p>
        </w:tc>
        <w:tc>
          <w:tcPr>
            <w:tcW w:w="1665" w:type="dxa"/>
            <w:tcBorders>
              <w:bottom w:val="single" w:sz="4" w:space="0" w:color="auto"/>
            </w:tcBorders>
            <w:shd w:val="clear" w:color="auto" w:fill="auto"/>
            <w:vAlign w:val="center"/>
          </w:tcPr>
          <w:p w:rsidR="00C220C3" w:rsidRPr="006917A0" w:rsidRDefault="00C220C3" w:rsidP="004D0188">
            <w:pPr>
              <w:jc w:val="center"/>
              <w:rPr>
                <w:b/>
                <w:sz w:val="20"/>
                <w:szCs w:val="20"/>
              </w:rPr>
            </w:pPr>
            <w:r w:rsidRPr="006917A0">
              <w:rPr>
                <w:b/>
                <w:sz w:val="20"/>
                <w:szCs w:val="20"/>
              </w:rPr>
              <w:t>273.5 (7.4%)</w:t>
            </w:r>
          </w:p>
        </w:tc>
        <w:tc>
          <w:tcPr>
            <w:tcW w:w="1666" w:type="dxa"/>
            <w:tcBorders>
              <w:bottom w:val="single" w:sz="4" w:space="0" w:color="auto"/>
            </w:tcBorders>
            <w:shd w:val="clear" w:color="auto" w:fill="auto"/>
            <w:vAlign w:val="center"/>
          </w:tcPr>
          <w:p w:rsidR="00C220C3" w:rsidRPr="006917A0" w:rsidRDefault="00C220C3" w:rsidP="004D0188">
            <w:pPr>
              <w:jc w:val="center"/>
              <w:rPr>
                <w:b/>
                <w:sz w:val="20"/>
                <w:szCs w:val="20"/>
              </w:rPr>
            </w:pPr>
            <w:r w:rsidRPr="006917A0">
              <w:rPr>
                <w:b/>
                <w:sz w:val="20"/>
                <w:szCs w:val="20"/>
              </w:rPr>
              <w:t>678.0 (18.4%)</w:t>
            </w:r>
          </w:p>
        </w:tc>
        <w:tc>
          <w:tcPr>
            <w:tcW w:w="1666" w:type="dxa"/>
            <w:tcBorders>
              <w:bottom w:val="single" w:sz="4" w:space="0" w:color="auto"/>
              <w:right w:val="single" w:sz="4" w:space="0" w:color="auto"/>
            </w:tcBorders>
            <w:shd w:val="clear" w:color="auto" w:fill="auto"/>
            <w:vAlign w:val="center"/>
          </w:tcPr>
          <w:p w:rsidR="00C220C3" w:rsidRPr="006917A0" w:rsidRDefault="00C220C3" w:rsidP="004D0188">
            <w:pPr>
              <w:jc w:val="center"/>
              <w:rPr>
                <w:b/>
                <w:sz w:val="20"/>
                <w:szCs w:val="20"/>
              </w:rPr>
            </w:pPr>
            <w:r w:rsidRPr="006917A0">
              <w:rPr>
                <w:b/>
                <w:sz w:val="20"/>
                <w:szCs w:val="20"/>
              </w:rPr>
              <w:t>13.0 (0.4%)</w:t>
            </w:r>
          </w:p>
        </w:tc>
        <w:tc>
          <w:tcPr>
            <w:tcW w:w="1666" w:type="dxa"/>
            <w:tcBorders>
              <w:left w:val="single" w:sz="4" w:space="0" w:color="auto"/>
              <w:bottom w:val="single" w:sz="4" w:space="0" w:color="auto"/>
            </w:tcBorders>
            <w:shd w:val="clear" w:color="auto" w:fill="auto"/>
            <w:vAlign w:val="center"/>
          </w:tcPr>
          <w:p w:rsidR="00C220C3" w:rsidRPr="006917A0" w:rsidRDefault="00C220C3" w:rsidP="004D0188">
            <w:pPr>
              <w:jc w:val="center"/>
              <w:rPr>
                <w:b/>
                <w:sz w:val="20"/>
                <w:szCs w:val="20"/>
              </w:rPr>
            </w:pPr>
            <w:r w:rsidRPr="006917A0">
              <w:rPr>
                <w:b/>
                <w:sz w:val="20"/>
                <w:szCs w:val="20"/>
              </w:rPr>
              <w:t>28.6 (0.8%)</w:t>
            </w:r>
          </w:p>
        </w:tc>
      </w:tr>
      <w:tr w:rsidR="00C220C3" w:rsidRPr="006917A0" w:rsidTr="004D0188">
        <w:tc>
          <w:tcPr>
            <w:tcW w:w="9039" w:type="dxa"/>
            <w:gridSpan w:val="5"/>
            <w:shd w:val="clear" w:color="auto" w:fill="auto"/>
            <w:vAlign w:val="center"/>
          </w:tcPr>
          <w:p w:rsidR="00C220C3" w:rsidRPr="006917A0" w:rsidRDefault="00C220C3" w:rsidP="004D0188">
            <w:pPr>
              <w:jc w:val="center"/>
              <w:rPr>
                <w:b/>
                <w:sz w:val="20"/>
                <w:szCs w:val="20"/>
              </w:rPr>
            </w:pPr>
            <w:r w:rsidRPr="006917A0">
              <w:rPr>
                <w:b/>
                <w:sz w:val="20"/>
                <w:szCs w:val="20"/>
              </w:rPr>
              <w:t>Females</w:t>
            </w:r>
          </w:p>
        </w:tc>
      </w:tr>
      <w:tr w:rsidR="00C220C3" w:rsidRPr="006917A0" w:rsidTr="004D0188">
        <w:tc>
          <w:tcPr>
            <w:tcW w:w="2376" w:type="dxa"/>
            <w:vMerge w:val="restart"/>
            <w:shd w:val="clear" w:color="auto" w:fill="auto"/>
            <w:vAlign w:val="center"/>
          </w:tcPr>
          <w:p w:rsidR="00C220C3" w:rsidRPr="006917A0" w:rsidRDefault="00C220C3" w:rsidP="004D0188">
            <w:pPr>
              <w:rPr>
                <w:b/>
                <w:sz w:val="20"/>
                <w:szCs w:val="20"/>
              </w:rPr>
            </w:pPr>
            <w:r w:rsidRPr="006917A0">
              <w:rPr>
                <w:b/>
                <w:sz w:val="20"/>
                <w:szCs w:val="20"/>
              </w:rPr>
              <w:t>Region</w:t>
            </w:r>
          </w:p>
        </w:tc>
        <w:tc>
          <w:tcPr>
            <w:tcW w:w="3331" w:type="dxa"/>
            <w:gridSpan w:val="2"/>
            <w:shd w:val="clear" w:color="auto" w:fill="auto"/>
            <w:vAlign w:val="center"/>
          </w:tcPr>
          <w:p w:rsidR="00C220C3" w:rsidRPr="006917A0" w:rsidRDefault="00C220C3" w:rsidP="004D0188">
            <w:pPr>
              <w:jc w:val="center"/>
              <w:rPr>
                <w:b/>
                <w:sz w:val="20"/>
                <w:szCs w:val="20"/>
              </w:rPr>
            </w:pPr>
            <w:r w:rsidRPr="006917A0">
              <w:rPr>
                <w:b/>
                <w:sz w:val="20"/>
                <w:szCs w:val="20"/>
              </w:rPr>
              <w:t>Prevalent infection</w:t>
            </w:r>
          </w:p>
        </w:tc>
        <w:tc>
          <w:tcPr>
            <w:tcW w:w="3332" w:type="dxa"/>
            <w:gridSpan w:val="2"/>
            <w:shd w:val="clear" w:color="auto" w:fill="auto"/>
            <w:vAlign w:val="center"/>
          </w:tcPr>
          <w:p w:rsidR="00C220C3" w:rsidRPr="006917A0" w:rsidRDefault="00C220C3" w:rsidP="004D0188">
            <w:pPr>
              <w:jc w:val="center"/>
              <w:rPr>
                <w:b/>
                <w:sz w:val="20"/>
                <w:szCs w:val="20"/>
              </w:rPr>
            </w:pPr>
            <w:r w:rsidRPr="006917A0">
              <w:rPr>
                <w:b/>
                <w:sz w:val="20"/>
                <w:szCs w:val="20"/>
              </w:rPr>
              <w:t>Incident infection</w:t>
            </w:r>
          </w:p>
        </w:tc>
      </w:tr>
      <w:tr w:rsidR="00C220C3" w:rsidRPr="006917A0" w:rsidTr="004D0188">
        <w:tc>
          <w:tcPr>
            <w:tcW w:w="2376" w:type="dxa"/>
            <w:vMerge/>
            <w:tcBorders>
              <w:bottom w:val="single" w:sz="4" w:space="0" w:color="auto"/>
            </w:tcBorders>
            <w:shd w:val="clear" w:color="auto" w:fill="auto"/>
          </w:tcPr>
          <w:p w:rsidR="00C220C3" w:rsidRPr="006917A0" w:rsidRDefault="00C220C3" w:rsidP="004D0188">
            <w:pPr>
              <w:rPr>
                <w:b/>
                <w:sz w:val="20"/>
                <w:szCs w:val="20"/>
              </w:rPr>
            </w:pPr>
          </w:p>
        </w:tc>
        <w:tc>
          <w:tcPr>
            <w:tcW w:w="1665" w:type="dxa"/>
            <w:shd w:val="clear" w:color="auto" w:fill="auto"/>
            <w:vAlign w:val="center"/>
          </w:tcPr>
          <w:p w:rsidR="00C220C3" w:rsidRPr="006917A0" w:rsidRDefault="00C220C3" w:rsidP="00695784">
            <w:pPr>
              <w:jc w:val="center"/>
              <w:rPr>
                <w:b/>
                <w:sz w:val="20"/>
                <w:szCs w:val="20"/>
              </w:rPr>
            </w:pPr>
            <w:r w:rsidRPr="006917A0">
              <w:rPr>
                <w:b/>
                <w:sz w:val="20"/>
                <w:szCs w:val="20"/>
              </w:rPr>
              <w:t>Lower bound</w:t>
            </w:r>
          </w:p>
        </w:tc>
        <w:tc>
          <w:tcPr>
            <w:tcW w:w="1666" w:type="dxa"/>
            <w:shd w:val="clear" w:color="auto" w:fill="auto"/>
            <w:vAlign w:val="center"/>
          </w:tcPr>
          <w:p w:rsidR="00C220C3" w:rsidRPr="006917A0" w:rsidRDefault="00C220C3" w:rsidP="00695784">
            <w:pPr>
              <w:jc w:val="center"/>
              <w:rPr>
                <w:b/>
                <w:sz w:val="20"/>
                <w:szCs w:val="20"/>
              </w:rPr>
            </w:pPr>
            <w:r w:rsidRPr="006917A0">
              <w:rPr>
                <w:b/>
                <w:sz w:val="20"/>
                <w:szCs w:val="20"/>
              </w:rPr>
              <w:t>Upper bound</w:t>
            </w:r>
          </w:p>
        </w:tc>
        <w:tc>
          <w:tcPr>
            <w:tcW w:w="1666" w:type="dxa"/>
            <w:shd w:val="clear" w:color="auto" w:fill="auto"/>
            <w:vAlign w:val="center"/>
          </w:tcPr>
          <w:p w:rsidR="00C220C3" w:rsidRPr="006917A0" w:rsidRDefault="00C220C3" w:rsidP="00695784">
            <w:pPr>
              <w:jc w:val="center"/>
              <w:rPr>
                <w:b/>
                <w:sz w:val="20"/>
                <w:szCs w:val="20"/>
              </w:rPr>
            </w:pPr>
            <w:r w:rsidRPr="006917A0">
              <w:rPr>
                <w:b/>
                <w:sz w:val="20"/>
                <w:szCs w:val="20"/>
              </w:rPr>
              <w:t>Lower bound</w:t>
            </w:r>
          </w:p>
        </w:tc>
        <w:tc>
          <w:tcPr>
            <w:tcW w:w="1666" w:type="dxa"/>
            <w:shd w:val="clear" w:color="auto" w:fill="auto"/>
            <w:vAlign w:val="center"/>
          </w:tcPr>
          <w:p w:rsidR="00C220C3" w:rsidRPr="006917A0" w:rsidRDefault="00C220C3" w:rsidP="00695784">
            <w:pPr>
              <w:jc w:val="center"/>
              <w:rPr>
                <w:b/>
                <w:sz w:val="20"/>
                <w:szCs w:val="20"/>
              </w:rPr>
            </w:pPr>
            <w:r w:rsidRPr="006917A0">
              <w:rPr>
                <w:b/>
                <w:sz w:val="20"/>
                <w:szCs w:val="20"/>
              </w:rPr>
              <w:t>Upper bound</w:t>
            </w:r>
          </w:p>
        </w:tc>
      </w:tr>
      <w:tr w:rsidR="00C220C3" w:rsidRPr="006917A0" w:rsidTr="004D0188">
        <w:tc>
          <w:tcPr>
            <w:tcW w:w="2376" w:type="dxa"/>
            <w:shd w:val="clear" w:color="auto" w:fill="auto"/>
            <w:vAlign w:val="center"/>
          </w:tcPr>
          <w:p w:rsidR="00C220C3" w:rsidRPr="006917A0" w:rsidRDefault="00C220C3" w:rsidP="004D0188">
            <w:pPr>
              <w:rPr>
                <w:b/>
                <w:sz w:val="20"/>
                <w:szCs w:val="20"/>
              </w:rPr>
            </w:pPr>
            <w:r w:rsidRPr="006917A0">
              <w:rPr>
                <w:b/>
                <w:sz w:val="20"/>
                <w:szCs w:val="20"/>
              </w:rPr>
              <w:t>Americas</w:t>
            </w:r>
          </w:p>
        </w:tc>
        <w:tc>
          <w:tcPr>
            <w:tcW w:w="1665" w:type="dxa"/>
            <w:shd w:val="clear" w:color="auto" w:fill="auto"/>
            <w:vAlign w:val="center"/>
          </w:tcPr>
          <w:p w:rsidR="00C220C3" w:rsidRPr="006917A0" w:rsidRDefault="00C220C3" w:rsidP="00695784">
            <w:pPr>
              <w:jc w:val="center"/>
              <w:rPr>
                <w:sz w:val="20"/>
                <w:szCs w:val="20"/>
              </w:rPr>
            </w:pPr>
            <w:r w:rsidRPr="006917A0">
              <w:rPr>
                <w:sz w:val="20"/>
                <w:szCs w:val="20"/>
              </w:rPr>
              <w:t>33.6 (13.7%)</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60.5 (24.6%)</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1.661 (0.7%)</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2.715 (1.1%)</w:t>
            </w:r>
          </w:p>
        </w:tc>
      </w:tr>
      <w:tr w:rsidR="00C220C3" w:rsidRPr="006917A0" w:rsidTr="004D0188">
        <w:tc>
          <w:tcPr>
            <w:tcW w:w="2376" w:type="dxa"/>
            <w:shd w:val="clear" w:color="auto" w:fill="auto"/>
            <w:vAlign w:val="center"/>
          </w:tcPr>
          <w:p w:rsidR="00C220C3" w:rsidRPr="006917A0" w:rsidRDefault="00C220C3" w:rsidP="004D0188">
            <w:pPr>
              <w:rPr>
                <w:b/>
                <w:sz w:val="20"/>
                <w:szCs w:val="20"/>
              </w:rPr>
            </w:pPr>
            <w:r w:rsidRPr="006917A0">
              <w:rPr>
                <w:b/>
                <w:sz w:val="20"/>
                <w:szCs w:val="20"/>
              </w:rPr>
              <w:t>Africa</w:t>
            </w:r>
          </w:p>
        </w:tc>
        <w:tc>
          <w:tcPr>
            <w:tcW w:w="1665" w:type="dxa"/>
            <w:shd w:val="clear" w:color="auto" w:fill="auto"/>
            <w:vAlign w:val="center"/>
          </w:tcPr>
          <w:p w:rsidR="00C220C3" w:rsidRPr="006917A0" w:rsidRDefault="00C220C3" w:rsidP="00695784">
            <w:pPr>
              <w:jc w:val="center"/>
              <w:rPr>
                <w:sz w:val="20"/>
                <w:szCs w:val="20"/>
              </w:rPr>
            </w:pPr>
            <w:r w:rsidRPr="006917A0">
              <w:rPr>
                <w:sz w:val="20"/>
                <w:szCs w:val="20"/>
              </w:rPr>
              <w:t>64.0 (30.0%)</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100.5 (47.1%)</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2.864 (1.3%)</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3.755 (1.8%)</w:t>
            </w:r>
          </w:p>
        </w:tc>
      </w:tr>
      <w:tr w:rsidR="00C220C3" w:rsidRPr="006917A0" w:rsidTr="004D0188">
        <w:tc>
          <w:tcPr>
            <w:tcW w:w="2376" w:type="dxa"/>
            <w:shd w:val="clear" w:color="auto" w:fill="auto"/>
            <w:vAlign w:val="center"/>
          </w:tcPr>
          <w:p w:rsidR="00C220C3" w:rsidRPr="006917A0" w:rsidRDefault="00C220C3" w:rsidP="004D0188">
            <w:pPr>
              <w:rPr>
                <w:b/>
                <w:sz w:val="20"/>
                <w:szCs w:val="20"/>
              </w:rPr>
            </w:pPr>
            <w:r w:rsidRPr="006917A0">
              <w:rPr>
                <w:b/>
                <w:sz w:val="20"/>
                <w:szCs w:val="20"/>
              </w:rPr>
              <w:t>Eastern Mediterranean</w:t>
            </w:r>
          </w:p>
        </w:tc>
        <w:tc>
          <w:tcPr>
            <w:tcW w:w="1665" w:type="dxa"/>
            <w:shd w:val="clear" w:color="auto" w:fill="auto"/>
            <w:vAlign w:val="center"/>
          </w:tcPr>
          <w:p w:rsidR="00C220C3" w:rsidRPr="006917A0" w:rsidRDefault="00C220C3" w:rsidP="00695784">
            <w:pPr>
              <w:jc w:val="center"/>
              <w:rPr>
                <w:sz w:val="20"/>
                <w:szCs w:val="20"/>
              </w:rPr>
            </w:pPr>
            <w:r w:rsidRPr="006917A0">
              <w:rPr>
                <w:sz w:val="20"/>
                <w:szCs w:val="20"/>
              </w:rPr>
              <w:t>19.5 (12.6%)</w:t>
            </w:r>
            <w:r w:rsidRPr="006917A0">
              <w:rPr>
                <w:b/>
                <w:sz w:val="20"/>
                <w:szCs w:val="20"/>
                <w:vertAlign w:val="superscript"/>
              </w:rPr>
              <w:t>b</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19.5 (12.6%)</w:t>
            </w:r>
            <w:r w:rsidRPr="006917A0">
              <w:rPr>
                <w:b/>
                <w:sz w:val="20"/>
                <w:szCs w:val="20"/>
                <w:vertAlign w:val="superscript"/>
              </w:rPr>
              <w:t>b</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0.623 (0.4%)</w:t>
            </w:r>
            <w:r w:rsidRPr="006917A0">
              <w:rPr>
                <w:b/>
                <w:sz w:val="20"/>
                <w:szCs w:val="20"/>
                <w:vertAlign w:val="superscript"/>
              </w:rPr>
              <w:t>b</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0.623 (0.4%)</w:t>
            </w:r>
            <w:r w:rsidRPr="006917A0">
              <w:rPr>
                <w:b/>
                <w:sz w:val="20"/>
                <w:szCs w:val="20"/>
                <w:vertAlign w:val="superscript"/>
              </w:rPr>
              <w:t>b</w:t>
            </w:r>
          </w:p>
        </w:tc>
      </w:tr>
      <w:tr w:rsidR="00C220C3" w:rsidRPr="006917A0" w:rsidTr="004D0188">
        <w:tc>
          <w:tcPr>
            <w:tcW w:w="2376" w:type="dxa"/>
            <w:shd w:val="clear" w:color="auto" w:fill="auto"/>
            <w:vAlign w:val="center"/>
          </w:tcPr>
          <w:p w:rsidR="00C220C3" w:rsidRPr="006917A0" w:rsidRDefault="00C220C3" w:rsidP="004D0188">
            <w:pPr>
              <w:rPr>
                <w:b/>
                <w:sz w:val="20"/>
                <w:szCs w:val="20"/>
              </w:rPr>
            </w:pPr>
            <w:r w:rsidRPr="006917A0">
              <w:rPr>
                <w:b/>
                <w:sz w:val="20"/>
                <w:szCs w:val="20"/>
              </w:rPr>
              <w:t>Europe</w:t>
            </w:r>
          </w:p>
        </w:tc>
        <w:tc>
          <w:tcPr>
            <w:tcW w:w="1665" w:type="dxa"/>
            <w:shd w:val="clear" w:color="auto" w:fill="auto"/>
            <w:vAlign w:val="center"/>
          </w:tcPr>
          <w:p w:rsidR="00C220C3" w:rsidRPr="006917A0" w:rsidRDefault="00C220C3" w:rsidP="00695784">
            <w:pPr>
              <w:jc w:val="center"/>
              <w:rPr>
                <w:sz w:val="20"/>
                <w:szCs w:val="20"/>
              </w:rPr>
            </w:pPr>
            <w:r w:rsidRPr="006917A0">
              <w:rPr>
                <w:sz w:val="20"/>
                <w:szCs w:val="20"/>
              </w:rPr>
              <w:t>11.5 (5.2%)</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39.4 (17.8%)</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0.410 (0.2%)</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1.675 (0.8%)</w:t>
            </w:r>
          </w:p>
        </w:tc>
      </w:tr>
      <w:tr w:rsidR="00C220C3" w:rsidRPr="006917A0" w:rsidTr="004D0188">
        <w:tc>
          <w:tcPr>
            <w:tcW w:w="2376" w:type="dxa"/>
            <w:shd w:val="clear" w:color="auto" w:fill="auto"/>
            <w:vAlign w:val="center"/>
          </w:tcPr>
          <w:p w:rsidR="00C220C3" w:rsidRPr="006917A0" w:rsidRDefault="00C220C3" w:rsidP="004D0188">
            <w:pPr>
              <w:rPr>
                <w:b/>
                <w:sz w:val="20"/>
                <w:szCs w:val="20"/>
              </w:rPr>
            </w:pPr>
            <w:r w:rsidRPr="006917A0">
              <w:rPr>
                <w:b/>
                <w:sz w:val="20"/>
                <w:szCs w:val="20"/>
              </w:rPr>
              <w:t>South-East Asia</w:t>
            </w:r>
          </w:p>
        </w:tc>
        <w:tc>
          <w:tcPr>
            <w:tcW w:w="1665" w:type="dxa"/>
            <w:shd w:val="clear" w:color="auto" w:fill="auto"/>
            <w:vAlign w:val="center"/>
          </w:tcPr>
          <w:p w:rsidR="00C220C3" w:rsidRPr="006917A0" w:rsidRDefault="00C220C3" w:rsidP="00695784">
            <w:pPr>
              <w:jc w:val="center"/>
              <w:rPr>
                <w:sz w:val="20"/>
                <w:szCs w:val="20"/>
              </w:rPr>
            </w:pPr>
            <w:r w:rsidRPr="006917A0">
              <w:rPr>
                <w:sz w:val="20"/>
                <w:szCs w:val="20"/>
              </w:rPr>
              <w:t>23.1 (4.8%)</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71.6 (14.8%)</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1.232 (0.3%)</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3.666 (0.8%)</w:t>
            </w:r>
          </w:p>
        </w:tc>
      </w:tr>
      <w:tr w:rsidR="00C220C3" w:rsidRPr="006917A0" w:rsidTr="004D0188">
        <w:tc>
          <w:tcPr>
            <w:tcW w:w="2376" w:type="dxa"/>
            <w:tcBorders>
              <w:bottom w:val="single" w:sz="4" w:space="0" w:color="auto"/>
            </w:tcBorders>
            <w:shd w:val="clear" w:color="auto" w:fill="auto"/>
            <w:vAlign w:val="center"/>
          </w:tcPr>
          <w:p w:rsidR="00C220C3" w:rsidRPr="006917A0" w:rsidRDefault="00C220C3" w:rsidP="004D0188">
            <w:pPr>
              <w:rPr>
                <w:b/>
                <w:sz w:val="20"/>
                <w:szCs w:val="20"/>
              </w:rPr>
            </w:pPr>
            <w:r w:rsidRPr="006917A0">
              <w:rPr>
                <w:b/>
                <w:sz w:val="20"/>
                <w:szCs w:val="20"/>
              </w:rPr>
              <w:t>Western Pacific</w:t>
            </w:r>
          </w:p>
        </w:tc>
        <w:tc>
          <w:tcPr>
            <w:tcW w:w="1665" w:type="dxa"/>
            <w:tcBorders>
              <w:bottom w:val="single" w:sz="4" w:space="0" w:color="auto"/>
            </w:tcBorders>
            <w:shd w:val="clear" w:color="auto" w:fill="auto"/>
            <w:vAlign w:val="center"/>
          </w:tcPr>
          <w:p w:rsidR="00C220C3" w:rsidRPr="006917A0" w:rsidRDefault="00C220C3" w:rsidP="00695784">
            <w:pPr>
              <w:jc w:val="center"/>
              <w:rPr>
                <w:sz w:val="20"/>
                <w:szCs w:val="20"/>
              </w:rPr>
            </w:pPr>
            <w:r w:rsidRPr="006917A0">
              <w:rPr>
                <w:sz w:val="20"/>
                <w:szCs w:val="20"/>
              </w:rPr>
              <w:t>32.3 (6.6%)</w:t>
            </w:r>
          </w:p>
        </w:tc>
        <w:tc>
          <w:tcPr>
            <w:tcW w:w="1666" w:type="dxa"/>
            <w:tcBorders>
              <w:bottom w:val="single" w:sz="4" w:space="0" w:color="auto"/>
            </w:tcBorders>
            <w:shd w:val="clear" w:color="auto" w:fill="auto"/>
            <w:vAlign w:val="center"/>
          </w:tcPr>
          <w:p w:rsidR="00C220C3" w:rsidRPr="006917A0" w:rsidRDefault="00C220C3" w:rsidP="00695784">
            <w:pPr>
              <w:jc w:val="center"/>
              <w:rPr>
                <w:sz w:val="20"/>
                <w:szCs w:val="20"/>
              </w:rPr>
            </w:pPr>
            <w:r w:rsidRPr="006917A0">
              <w:rPr>
                <w:sz w:val="20"/>
                <w:szCs w:val="20"/>
              </w:rPr>
              <w:t>103.3 (20.9%)</w:t>
            </w:r>
          </w:p>
        </w:tc>
        <w:tc>
          <w:tcPr>
            <w:tcW w:w="1666" w:type="dxa"/>
            <w:tcBorders>
              <w:bottom w:val="single" w:sz="4" w:space="0" w:color="auto"/>
            </w:tcBorders>
            <w:shd w:val="clear" w:color="auto" w:fill="auto"/>
            <w:vAlign w:val="center"/>
          </w:tcPr>
          <w:p w:rsidR="00C220C3" w:rsidRPr="006917A0" w:rsidRDefault="00C220C3" w:rsidP="00695784">
            <w:pPr>
              <w:jc w:val="center"/>
              <w:rPr>
                <w:sz w:val="20"/>
                <w:szCs w:val="20"/>
              </w:rPr>
            </w:pPr>
            <w:r w:rsidRPr="006917A0">
              <w:rPr>
                <w:sz w:val="20"/>
                <w:szCs w:val="20"/>
              </w:rPr>
              <w:t>1.509 (0.3%)</w:t>
            </w:r>
          </w:p>
        </w:tc>
        <w:tc>
          <w:tcPr>
            <w:tcW w:w="1666" w:type="dxa"/>
            <w:tcBorders>
              <w:bottom w:val="single" w:sz="4" w:space="0" w:color="auto"/>
            </w:tcBorders>
            <w:shd w:val="clear" w:color="auto" w:fill="auto"/>
            <w:vAlign w:val="center"/>
          </w:tcPr>
          <w:p w:rsidR="00C220C3" w:rsidRPr="006917A0" w:rsidRDefault="00C220C3" w:rsidP="00695784">
            <w:pPr>
              <w:jc w:val="center"/>
              <w:rPr>
                <w:sz w:val="20"/>
                <w:szCs w:val="20"/>
              </w:rPr>
            </w:pPr>
            <w:r w:rsidRPr="006917A0">
              <w:rPr>
                <w:sz w:val="20"/>
                <w:szCs w:val="20"/>
              </w:rPr>
              <w:t>4.106 (0.8%)</w:t>
            </w:r>
          </w:p>
        </w:tc>
      </w:tr>
      <w:tr w:rsidR="00C220C3" w:rsidRPr="006917A0" w:rsidTr="004D0188">
        <w:tc>
          <w:tcPr>
            <w:tcW w:w="2376" w:type="dxa"/>
            <w:tcBorders>
              <w:bottom w:val="single" w:sz="4" w:space="0" w:color="auto"/>
            </w:tcBorders>
            <w:shd w:val="clear" w:color="auto" w:fill="auto"/>
          </w:tcPr>
          <w:p w:rsidR="00C220C3" w:rsidRPr="006917A0" w:rsidRDefault="00C220C3" w:rsidP="004D0188">
            <w:pPr>
              <w:rPr>
                <w:b/>
                <w:sz w:val="20"/>
                <w:szCs w:val="20"/>
              </w:rPr>
            </w:pPr>
            <w:r w:rsidRPr="006917A0">
              <w:rPr>
                <w:b/>
                <w:sz w:val="20"/>
                <w:szCs w:val="20"/>
              </w:rPr>
              <w:t>Global total (females)</w:t>
            </w:r>
          </w:p>
        </w:tc>
        <w:tc>
          <w:tcPr>
            <w:tcW w:w="1665" w:type="dxa"/>
            <w:tcBorders>
              <w:bottom w:val="single" w:sz="4" w:space="0" w:color="auto"/>
            </w:tcBorders>
            <w:shd w:val="clear" w:color="auto" w:fill="auto"/>
            <w:vAlign w:val="center"/>
          </w:tcPr>
          <w:p w:rsidR="00C220C3" w:rsidRPr="006917A0" w:rsidRDefault="00C220C3" w:rsidP="00695784">
            <w:pPr>
              <w:jc w:val="center"/>
              <w:rPr>
                <w:b/>
                <w:sz w:val="20"/>
                <w:szCs w:val="20"/>
              </w:rPr>
            </w:pPr>
            <w:r w:rsidRPr="006917A0">
              <w:rPr>
                <w:b/>
                <w:sz w:val="20"/>
                <w:szCs w:val="20"/>
              </w:rPr>
              <w:t>184.1</w:t>
            </w:r>
            <w:r w:rsidRPr="006917A0">
              <w:rPr>
                <w:b/>
                <w:sz w:val="20"/>
                <w:szCs w:val="20"/>
                <w:vertAlign w:val="superscript"/>
              </w:rPr>
              <w:t>a</w:t>
            </w:r>
            <w:r w:rsidRPr="006917A0">
              <w:rPr>
                <w:b/>
                <w:sz w:val="20"/>
                <w:szCs w:val="20"/>
              </w:rPr>
              <w:t xml:space="preserve"> (10.2%)</w:t>
            </w:r>
          </w:p>
        </w:tc>
        <w:tc>
          <w:tcPr>
            <w:tcW w:w="1666" w:type="dxa"/>
            <w:tcBorders>
              <w:bottom w:val="single" w:sz="4" w:space="0" w:color="auto"/>
            </w:tcBorders>
            <w:shd w:val="clear" w:color="auto" w:fill="auto"/>
            <w:vAlign w:val="center"/>
          </w:tcPr>
          <w:p w:rsidR="00C220C3" w:rsidRPr="006917A0" w:rsidRDefault="00C220C3" w:rsidP="00695784">
            <w:pPr>
              <w:jc w:val="center"/>
              <w:rPr>
                <w:b/>
                <w:sz w:val="20"/>
                <w:szCs w:val="20"/>
              </w:rPr>
            </w:pPr>
            <w:r w:rsidRPr="006917A0">
              <w:rPr>
                <w:b/>
                <w:sz w:val="20"/>
                <w:szCs w:val="20"/>
              </w:rPr>
              <w:t>394.7</w:t>
            </w:r>
            <w:r w:rsidRPr="006917A0">
              <w:rPr>
                <w:b/>
                <w:sz w:val="20"/>
                <w:szCs w:val="20"/>
                <w:vertAlign w:val="superscript"/>
              </w:rPr>
              <w:t>a</w:t>
            </w:r>
            <w:r w:rsidRPr="006917A0">
              <w:rPr>
                <w:b/>
                <w:sz w:val="20"/>
                <w:szCs w:val="20"/>
              </w:rPr>
              <w:t xml:space="preserve"> (21.8%)</w:t>
            </w:r>
          </w:p>
        </w:tc>
        <w:tc>
          <w:tcPr>
            <w:tcW w:w="1666" w:type="dxa"/>
            <w:tcBorders>
              <w:bottom w:val="single" w:sz="4" w:space="0" w:color="auto"/>
              <w:right w:val="single" w:sz="4" w:space="0" w:color="auto"/>
            </w:tcBorders>
            <w:shd w:val="clear" w:color="auto" w:fill="auto"/>
            <w:vAlign w:val="center"/>
          </w:tcPr>
          <w:p w:rsidR="00C220C3" w:rsidRPr="006917A0" w:rsidRDefault="00C220C3" w:rsidP="00695784">
            <w:pPr>
              <w:jc w:val="center"/>
              <w:rPr>
                <w:b/>
                <w:sz w:val="20"/>
                <w:szCs w:val="20"/>
              </w:rPr>
            </w:pPr>
            <w:r w:rsidRPr="006917A0">
              <w:rPr>
                <w:b/>
                <w:sz w:val="20"/>
                <w:szCs w:val="20"/>
              </w:rPr>
              <w:t>8.3 (0.5%)</w:t>
            </w:r>
          </w:p>
        </w:tc>
        <w:tc>
          <w:tcPr>
            <w:tcW w:w="1666" w:type="dxa"/>
            <w:tcBorders>
              <w:left w:val="single" w:sz="4" w:space="0" w:color="auto"/>
              <w:bottom w:val="single" w:sz="4" w:space="0" w:color="auto"/>
            </w:tcBorders>
            <w:shd w:val="clear" w:color="auto" w:fill="auto"/>
            <w:vAlign w:val="center"/>
          </w:tcPr>
          <w:p w:rsidR="00C220C3" w:rsidRPr="006917A0" w:rsidRDefault="00C220C3" w:rsidP="00695784">
            <w:pPr>
              <w:jc w:val="center"/>
              <w:rPr>
                <w:b/>
                <w:sz w:val="20"/>
                <w:szCs w:val="20"/>
              </w:rPr>
            </w:pPr>
            <w:r w:rsidRPr="006917A0">
              <w:rPr>
                <w:b/>
                <w:sz w:val="20"/>
                <w:szCs w:val="20"/>
              </w:rPr>
              <w:t>16.5 (0.9%)</w:t>
            </w:r>
          </w:p>
        </w:tc>
      </w:tr>
      <w:tr w:rsidR="00C220C3" w:rsidRPr="006917A0" w:rsidTr="004D0188">
        <w:tc>
          <w:tcPr>
            <w:tcW w:w="9039" w:type="dxa"/>
            <w:gridSpan w:val="5"/>
            <w:shd w:val="clear" w:color="auto" w:fill="auto"/>
            <w:vAlign w:val="center"/>
          </w:tcPr>
          <w:p w:rsidR="00C220C3" w:rsidRPr="006917A0" w:rsidRDefault="00C220C3" w:rsidP="00695784">
            <w:pPr>
              <w:jc w:val="center"/>
              <w:rPr>
                <w:b/>
                <w:sz w:val="20"/>
                <w:szCs w:val="20"/>
              </w:rPr>
            </w:pPr>
            <w:r w:rsidRPr="006917A0">
              <w:rPr>
                <w:b/>
                <w:sz w:val="20"/>
                <w:szCs w:val="20"/>
              </w:rPr>
              <w:t>Males</w:t>
            </w:r>
          </w:p>
        </w:tc>
      </w:tr>
      <w:tr w:rsidR="00C220C3" w:rsidRPr="006917A0" w:rsidTr="004D0188">
        <w:tc>
          <w:tcPr>
            <w:tcW w:w="2376" w:type="dxa"/>
            <w:vMerge w:val="restart"/>
            <w:shd w:val="clear" w:color="auto" w:fill="auto"/>
            <w:vAlign w:val="center"/>
          </w:tcPr>
          <w:p w:rsidR="00C220C3" w:rsidRPr="006917A0" w:rsidRDefault="00C220C3" w:rsidP="004D0188">
            <w:pPr>
              <w:rPr>
                <w:b/>
                <w:sz w:val="20"/>
                <w:szCs w:val="20"/>
              </w:rPr>
            </w:pPr>
            <w:r w:rsidRPr="006917A0">
              <w:rPr>
                <w:b/>
                <w:sz w:val="20"/>
                <w:szCs w:val="20"/>
              </w:rPr>
              <w:t>Region</w:t>
            </w:r>
          </w:p>
        </w:tc>
        <w:tc>
          <w:tcPr>
            <w:tcW w:w="3331" w:type="dxa"/>
            <w:gridSpan w:val="2"/>
            <w:shd w:val="clear" w:color="auto" w:fill="auto"/>
            <w:vAlign w:val="center"/>
          </w:tcPr>
          <w:p w:rsidR="00C220C3" w:rsidRPr="006917A0" w:rsidRDefault="00C220C3" w:rsidP="00695784">
            <w:pPr>
              <w:jc w:val="center"/>
              <w:rPr>
                <w:b/>
                <w:sz w:val="20"/>
                <w:szCs w:val="20"/>
              </w:rPr>
            </w:pPr>
            <w:r w:rsidRPr="006917A0">
              <w:rPr>
                <w:b/>
                <w:sz w:val="20"/>
                <w:szCs w:val="20"/>
              </w:rPr>
              <w:t>Prevalent infection</w:t>
            </w:r>
          </w:p>
        </w:tc>
        <w:tc>
          <w:tcPr>
            <w:tcW w:w="3332" w:type="dxa"/>
            <w:gridSpan w:val="2"/>
            <w:shd w:val="clear" w:color="auto" w:fill="auto"/>
            <w:vAlign w:val="center"/>
          </w:tcPr>
          <w:p w:rsidR="00C220C3" w:rsidRPr="006917A0" w:rsidRDefault="00C220C3" w:rsidP="00695784">
            <w:pPr>
              <w:jc w:val="center"/>
              <w:rPr>
                <w:b/>
                <w:sz w:val="20"/>
                <w:szCs w:val="20"/>
              </w:rPr>
            </w:pPr>
            <w:r w:rsidRPr="006917A0">
              <w:rPr>
                <w:b/>
                <w:sz w:val="20"/>
                <w:szCs w:val="20"/>
              </w:rPr>
              <w:t>Incident infection</w:t>
            </w:r>
          </w:p>
        </w:tc>
      </w:tr>
      <w:tr w:rsidR="00C220C3" w:rsidRPr="006917A0" w:rsidTr="004D0188">
        <w:tc>
          <w:tcPr>
            <w:tcW w:w="2376" w:type="dxa"/>
            <w:vMerge/>
            <w:tcBorders>
              <w:bottom w:val="single" w:sz="4" w:space="0" w:color="auto"/>
            </w:tcBorders>
            <w:shd w:val="clear" w:color="auto" w:fill="auto"/>
          </w:tcPr>
          <w:p w:rsidR="00C220C3" w:rsidRPr="006917A0" w:rsidRDefault="00C220C3" w:rsidP="004D0188">
            <w:pPr>
              <w:rPr>
                <w:b/>
                <w:sz w:val="20"/>
                <w:szCs w:val="20"/>
              </w:rPr>
            </w:pPr>
          </w:p>
        </w:tc>
        <w:tc>
          <w:tcPr>
            <w:tcW w:w="1665" w:type="dxa"/>
            <w:shd w:val="clear" w:color="auto" w:fill="auto"/>
            <w:vAlign w:val="center"/>
          </w:tcPr>
          <w:p w:rsidR="00C220C3" w:rsidRPr="006917A0" w:rsidRDefault="00C220C3" w:rsidP="00695784">
            <w:pPr>
              <w:jc w:val="center"/>
              <w:rPr>
                <w:b/>
                <w:sz w:val="20"/>
                <w:szCs w:val="20"/>
              </w:rPr>
            </w:pPr>
            <w:r w:rsidRPr="006917A0">
              <w:rPr>
                <w:b/>
                <w:sz w:val="20"/>
                <w:szCs w:val="20"/>
              </w:rPr>
              <w:t>Lower bound</w:t>
            </w:r>
          </w:p>
        </w:tc>
        <w:tc>
          <w:tcPr>
            <w:tcW w:w="1666" w:type="dxa"/>
            <w:shd w:val="clear" w:color="auto" w:fill="auto"/>
            <w:vAlign w:val="center"/>
          </w:tcPr>
          <w:p w:rsidR="00C220C3" w:rsidRPr="006917A0" w:rsidRDefault="00C220C3" w:rsidP="00695784">
            <w:pPr>
              <w:jc w:val="center"/>
              <w:rPr>
                <w:b/>
                <w:sz w:val="20"/>
                <w:szCs w:val="20"/>
              </w:rPr>
            </w:pPr>
            <w:r w:rsidRPr="006917A0">
              <w:rPr>
                <w:b/>
                <w:sz w:val="20"/>
                <w:szCs w:val="20"/>
              </w:rPr>
              <w:t>Upper bound</w:t>
            </w:r>
          </w:p>
        </w:tc>
        <w:tc>
          <w:tcPr>
            <w:tcW w:w="1666" w:type="dxa"/>
            <w:shd w:val="clear" w:color="auto" w:fill="auto"/>
            <w:vAlign w:val="center"/>
          </w:tcPr>
          <w:p w:rsidR="00C220C3" w:rsidRPr="006917A0" w:rsidRDefault="00C220C3" w:rsidP="00695784">
            <w:pPr>
              <w:jc w:val="center"/>
              <w:rPr>
                <w:b/>
                <w:sz w:val="20"/>
                <w:szCs w:val="20"/>
              </w:rPr>
            </w:pPr>
            <w:r w:rsidRPr="006917A0">
              <w:rPr>
                <w:b/>
                <w:sz w:val="20"/>
                <w:szCs w:val="20"/>
              </w:rPr>
              <w:t>Lower bound</w:t>
            </w:r>
          </w:p>
        </w:tc>
        <w:tc>
          <w:tcPr>
            <w:tcW w:w="1666" w:type="dxa"/>
            <w:shd w:val="clear" w:color="auto" w:fill="auto"/>
            <w:vAlign w:val="center"/>
          </w:tcPr>
          <w:p w:rsidR="00C220C3" w:rsidRPr="006917A0" w:rsidRDefault="00C220C3" w:rsidP="00695784">
            <w:pPr>
              <w:jc w:val="center"/>
              <w:rPr>
                <w:b/>
                <w:sz w:val="20"/>
                <w:szCs w:val="20"/>
              </w:rPr>
            </w:pPr>
            <w:r w:rsidRPr="006917A0">
              <w:rPr>
                <w:b/>
                <w:sz w:val="20"/>
                <w:szCs w:val="20"/>
              </w:rPr>
              <w:t>Upper bound</w:t>
            </w:r>
          </w:p>
        </w:tc>
      </w:tr>
      <w:tr w:rsidR="00C220C3" w:rsidRPr="006917A0" w:rsidTr="004D0188">
        <w:tc>
          <w:tcPr>
            <w:tcW w:w="2376" w:type="dxa"/>
            <w:shd w:val="clear" w:color="auto" w:fill="auto"/>
            <w:vAlign w:val="center"/>
          </w:tcPr>
          <w:p w:rsidR="00C220C3" w:rsidRPr="006917A0" w:rsidRDefault="00C220C3" w:rsidP="004D0188">
            <w:pPr>
              <w:rPr>
                <w:b/>
                <w:sz w:val="20"/>
                <w:szCs w:val="20"/>
              </w:rPr>
            </w:pPr>
            <w:r w:rsidRPr="006917A0">
              <w:rPr>
                <w:b/>
                <w:sz w:val="20"/>
                <w:szCs w:val="20"/>
              </w:rPr>
              <w:t>Americas</w:t>
            </w:r>
          </w:p>
        </w:tc>
        <w:tc>
          <w:tcPr>
            <w:tcW w:w="1665" w:type="dxa"/>
            <w:shd w:val="clear" w:color="auto" w:fill="auto"/>
            <w:vAlign w:val="center"/>
          </w:tcPr>
          <w:p w:rsidR="00C220C3" w:rsidRPr="006917A0" w:rsidRDefault="00C220C3" w:rsidP="00695784">
            <w:pPr>
              <w:jc w:val="center"/>
              <w:rPr>
                <w:sz w:val="20"/>
                <w:szCs w:val="20"/>
              </w:rPr>
            </w:pPr>
            <w:r w:rsidRPr="006917A0">
              <w:rPr>
                <w:sz w:val="20"/>
                <w:szCs w:val="20"/>
              </w:rPr>
              <w:t>16.3 (6.7%)</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39.7 (16.3%)</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0.844 (0.3%)</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1.884 (0.8%)</w:t>
            </w:r>
          </w:p>
        </w:tc>
      </w:tr>
      <w:tr w:rsidR="00C220C3" w:rsidRPr="006917A0" w:rsidTr="004D0188">
        <w:tc>
          <w:tcPr>
            <w:tcW w:w="2376" w:type="dxa"/>
            <w:shd w:val="clear" w:color="auto" w:fill="auto"/>
            <w:vAlign w:val="center"/>
          </w:tcPr>
          <w:p w:rsidR="00C220C3" w:rsidRPr="006917A0" w:rsidRDefault="00C220C3" w:rsidP="004D0188">
            <w:pPr>
              <w:rPr>
                <w:b/>
                <w:sz w:val="20"/>
                <w:szCs w:val="20"/>
              </w:rPr>
            </w:pPr>
            <w:r w:rsidRPr="006917A0">
              <w:rPr>
                <w:b/>
                <w:sz w:val="20"/>
                <w:szCs w:val="20"/>
              </w:rPr>
              <w:t>Africa</w:t>
            </w:r>
          </w:p>
        </w:tc>
        <w:tc>
          <w:tcPr>
            <w:tcW w:w="1665" w:type="dxa"/>
            <w:shd w:val="clear" w:color="auto" w:fill="auto"/>
            <w:vAlign w:val="center"/>
          </w:tcPr>
          <w:p w:rsidR="00C220C3" w:rsidRPr="006917A0" w:rsidRDefault="00C220C3" w:rsidP="00695784">
            <w:pPr>
              <w:jc w:val="center"/>
              <w:rPr>
                <w:sz w:val="20"/>
                <w:szCs w:val="20"/>
              </w:rPr>
            </w:pPr>
            <w:r w:rsidRPr="006917A0">
              <w:rPr>
                <w:sz w:val="20"/>
                <w:szCs w:val="20"/>
              </w:rPr>
              <w:t>40.9 (19.1%)</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69.9 (32.6%)</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2.328 (1.1%)</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3.370 (1.6%)</w:t>
            </w:r>
          </w:p>
        </w:tc>
      </w:tr>
      <w:tr w:rsidR="00C220C3" w:rsidRPr="006917A0" w:rsidTr="004D0188">
        <w:tc>
          <w:tcPr>
            <w:tcW w:w="2376" w:type="dxa"/>
            <w:shd w:val="clear" w:color="auto" w:fill="auto"/>
            <w:vAlign w:val="center"/>
          </w:tcPr>
          <w:p w:rsidR="00C220C3" w:rsidRPr="006917A0" w:rsidRDefault="00C220C3" w:rsidP="004D0188">
            <w:pPr>
              <w:rPr>
                <w:b/>
                <w:sz w:val="20"/>
                <w:szCs w:val="20"/>
              </w:rPr>
            </w:pPr>
            <w:r w:rsidRPr="006917A0">
              <w:rPr>
                <w:b/>
                <w:sz w:val="20"/>
                <w:szCs w:val="20"/>
              </w:rPr>
              <w:t>Eastern Mediterranean</w:t>
            </w:r>
          </w:p>
        </w:tc>
        <w:tc>
          <w:tcPr>
            <w:tcW w:w="1665" w:type="dxa"/>
            <w:shd w:val="clear" w:color="auto" w:fill="auto"/>
            <w:vAlign w:val="center"/>
          </w:tcPr>
          <w:p w:rsidR="00C220C3" w:rsidRPr="006917A0" w:rsidRDefault="00C220C3" w:rsidP="00695784">
            <w:pPr>
              <w:jc w:val="center"/>
              <w:rPr>
                <w:sz w:val="20"/>
                <w:szCs w:val="20"/>
              </w:rPr>
            </w:pPr>
            <w:r w:rsidRPr="006917A0">
              <w:rPr>
                <w:sz w:val="20"/>
                <w:szCs w:val="20"/>
              </w:rPr>
              <w:t>5.4 (3.2%)</w:t>
            </w:r>
            <w:r w:rsidRPr="006917A0">
              <w:rPr>
                <w:b/>
                <w:sz w:val="20"/>
                <w:szCs w:val="20"/>
                <w:vertAlign w:val="superscript"/>
              </w:rPr>
              <w:t>b</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5.4 (3.2%)</w:t>
            </w:r>
            <w:r w:rsidRPr="006917A0">
              <w:rPr>
                <w:b/>
                <w:sz w:val="20"/>
                <w:szCs w:val="20"/>
                <w:vertAlign w:val="superscript"/>
              </w:rPr>
              <w:t>b</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0.213 (0.1%)</w:t>
            </w:r>
            <w:r w:rsidRPr="006917A0">
              <w:rPr>
                <w:b/>
                <w:sz w:val="20"/>
                <w:szCs w:val="20"/>
                <w:vertAlign w:val="superscript"/>
              </w:rPr>
              <w:t>b</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0.213 (0.1%)</w:t>
            </w:r>
            <w:r w:rsidRPr="006917A0">
              <w:rPr>
                <w:b/>
                <w:sz w:val="20"/>
                <w:szCs w:val="20"/>
                <w:vertAlign w:val="superscript"/>
              </w:rPr>
              <w:t>b</w:t>
            </w:r>
          </w:p>
        </w:tc>
      </w:tr>
      <w:tr w:rsidR="00C220C3" w:rsidRPr="006917A0" w:rsidTr="004D0188">
        <w:tc>
          <w:tcPr>
            <w:tcW w:w="2376" w:type="dxa"/>
            <w:shd w:val="clear" w:color="auto" w:fill="auto"/>
            <w:vAlign w:val="center"/>
          </w:tcPr>
          <w:p w:rsidR="00C220C3" w:rsidRPr="006917A0" w:rsidRDefault="00C220C3" w:rsidP="004D0188">
            <w:pPr>
              <w:rPr>
                <w:b/>
                <w:sz w:val="20"/>
                <w:szCs w:val="20"/>
              </w:rPr>
            </w:pPr>
            <w:r w:rsidRPr="006917A0">
              <w:rPr>
                <w:b/>
                <w:sz w:val="20"/>
                <w:szCs w:val="20"/>
              </w:rPr>
              <w:t>Europe</w:t>
            </w:r>
          </w:p>
        </w:tc>
        <w:tc>
          <w:tcPr>
            <w:tcW w:w="1665" w:type="dxa"/>
            <w:shd w:val="clear" w:color="auto" w:fill="auto"/>
            <w:vAlign w:val="center"/>
          </w:tcPr>
          <w:p w:rsidR="00C220C3" w:rsidRPr="006917A0" w:rsidRDefault="00C220C3" w:rsidP="00695784">
            <w:pPr>
              <w:jc w:val="center"/>
              <w:rPr>
                <w:sz w:val="20"/>
                <w:szCs w:val="20"/>
              </w:rPr>
            </w:pPr>
            <w:r w:rsidRPr="006917A0">
              <w:rPr>
                <w:sz w:val="20"/>
                <w:szCs w:val="20"/>
              </w:rPr>
              <w:t>6.1 (2.8%)</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16.3 (7.3%)</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0.298 (0.1%)</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0.366 (0.2%)</w:t>
            </w:r>
          </w:p>
        </w:tc>
      </w:tr>
      <w:tr w:rsidR="00C220C3" w:rsidRPr="006917A0" w:rsidTr="004D0188">
        <w:tc>
          <w:tcPr>
            <w:tcW w:w="2376" w:type="dxa"/>
            <w:shd w:val="clear" w:color="auto" w:fill="auto"/>
            <w:vAlign w:val="center"/>
          </w:tcPr>
          <w:p w:rsidR="00C220C3" w:rsidRPr="006917A0" w:rsidRDefault="00C220C3" w:rsidP="004D0188">
            <w:pPr>
              <w:rPr>
                <w:b/>
                <w:sz w:val="20"/>
                <w:szCs w:val="20"/>
              </w:rPr>
            </w:pPr>
            <w:r w:rsidRPr="006917A0">
              <w:rPr>
                <w:b/>
                <w:sz w:val="20"/>
                <w:szCs w:val="20"/>
              </w:rPr>
              <w:t>South-East Asia</w:t>
            </w:r>
          </w:p>
        </w:tc>
        <w:tc>
          <w:tcPr>
            <w:tcW w:w="1665" w:type="dxa"/>
            <w:shd w:val="clear" w:color="auto" w:fill="auto"/>
            <w:vAlign w:val="center"/>
          </w:tcPr>
          <w:p w:rsidR="00C220C3" w:rsidRPr="006917A0" w:rsidRDefault="00C220C3" w:rsidP="00695784">
            <w:pPr>
              <w:jc w:val="center"/>
              <w:rPr>
                <w:sz w:val="20"/>
                <w:szCs w:val="20"/>
              </w:rPr>
            </w:pPr>
            <w:r w:rsidRPr="006917A0">
              <w:rPr>
                <w:sz w:val="20"/>
                <w:szCs w:val="20"/>
              </w:rPr>
              <w:t>12.1 (2.4%)</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86.3 (17.0%)</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0.647 (0.1%)</w:t>
            </w:r>
          </w:p>
        </w:tc>
        <w:tc>
          <w:tcPr>
            <w:tcW w:w="1666" w:type="dxa"/>
            <w:shd w:val="clear" w:color="auto" w:fill="auto"/>
            <w:vAlign w:val="center"/>
          </w:tcPr>
          <w:p w:rsidR="00C220C3" w:rsidRPr="006917A0" w:rsidRDefault="00C220C3" w:rsidP="00695784">
            <w:pPr>
              <w:jc w:val="center"/>
              <w:rPr>
                <w:sz w:val="20"/>
                <w:szCs w:val="20"/>
              </w:rPr>
            </w:pPr>
            <w:r w:rsidRPr="006917A0">
              <w:rPr>
                <w:sz w:val="20"/>
                <w:szCs w:val="20"/>
              </w:rPr>
              <w:t>3.082 (0.6%)</w:t>
            </w:r>
          </w:p>
        </w:tc>
      </w:tr>
      <w:tr w:rsidR="00C220C3" w:rsidRPr="006917A0" w:rsidTr="004D0188">
        <w:trPr>
          <w:trHeight w:val="60"/>
        </w:trPr>
        <w:tc>
          <w:tcPr>
            <w:tcW w:w="2376" w:type="dxa"/>
            <w:tcBorders>
              <w:bottom w:val="single" w:sz="4" w:space="0" w:color="auto"/>
            </w:tcBorders>
            <w:shd w:val="clear" w:color="auto" w:fill="auto"/>
            <w:vAlign w:val="center"/>
          </w:tcPr>
          <w:p w:rsidR="00C220C3" w:rsidRPr="006917A0" w:rsidRDefault="00C220C3" w:rsidP="004D0188">
            <w:pPr>
              <w:rPr>
                <w:b/>
                <w:sz w:val="20"/>
                <w:szCs w:val="20"/>
              </w:rPr>
            </w:pPr>
            <w:r w:rsidRPr="006917A0">
              <w:rPr>
                <w:b/>
                <w:sz w:val="20"/>
                <w:szCs w:val="20"/>
              </w:rPr>
              <w:t>Western Pacific</w:t>
            </w:r>
          </w:p>
        </w:tc>
        <w:tc>
          <w:tcPr>
            <w:tcW w:w="1665" w:type="dxa"/>
            <w:tcBorders>
              <w:bottom w:val="single" w:sz="4" w:space="0" w:color="auto"/>
            </w:tcBorders>
            <w:shd w:val="clear" w:color="auto" w:fill="auto"/>
            <w:vAlign w:val="center"/>
          </w:tcPr>
          <w:p w:rsidR="00C220C3" w:rsidRPr="006917A0" w:rsidRDefault="00C220C3" w:rsidP="00695784">
            <w:pPr>
              <w:jc w:val="center"/>
              <w:rPr>
                <w:sz w:val="20"/>
                <w:szCs w:val="20"/>
              </w:rPr>
            </w:pPr>
            <w:r w:rsidRPr="006917A0">
              <w:rPr>
                <w:sz w:val="20"/>
                <w:szCs w:val="20"/>
              </w:rPr>
              <w:t>8.5 (1.6%)</w:t>
            </w:r>
          </w:p>
        </w:tc>
        <w:tc>
          <w:tcPr>
            <w:tcW w:w="1666" w:type="dxa"/>
            <w:tcBorders>
              <w:bottom w:val="single" w:sz="4" w:space="0" w:color="auto"/>
            </w:tcBorders>
            <w:shd w:val="clear" w:color="auto" w:fill="auto"/>
            <w:vAlign w:val="center"/>
          </w:tcPr>
          <w:p w:rsidR="00C220C3" w:rsidRPr="006917A0" w:rsidRDefault="00C220C3" w:rsidP="00695784">
            <w:pPr>
              <w:jc w:val="center"/>
              <w:rPr>
                <w:sz w:val="20"/>
                <w:szCs w:val="20"/>
              </w:rPr>
            </w:pPr>
            <w:r w:rsidRPr="006917A0">
              <w:rPr>
                <w:sz w:val="20"/>
                <w:szCs w:val="20"/>
              </w:rPr>
              <w:t>65.6 (12.5%)</w:t>
            </w:r>
          </w:p>
        </w:tc>
        <w:tc>
          <w:tcPr>
            <w:tcW w:w="1666" w:type="dxa"/>
            <w:tcBorders>
              <w:bottom w:val="single" w:sz="4" w:space="0" w:color="auto"/>
            </w:tcBorders>
            <w:shd w:val="clear" w:color="auto" w:fill="auto"/>
            <w:vAlign w:val="center"/>
          </w:tcPr>
          <w:p w:rsidR="00C220C3" w:rsidRPr="006917A0" w:rsidRDefault="00C220C3" w:rsidP="00695784">
            <w:pPr>
              <w:jc w:val="center"/>
              <w:rPr>
                <w:sz w:val="20"/>
                <w:szCs w:val="20"/>
              </w:rPr>
            </w:pPr>
            <w:r w:rsidRPr="006917A0">
              <w:rPr>
                <w:sz w:val="20"/>
                <w:szCs w:val="20"/>
              </w:rPr>
              <w:t>0.420 (0.1%)</w:t>
            </w:r>
          </w:p>
        </w:tc>
        <w:tc>
          <w:tcPr>
            <w:tcW w:w="1666" w:type="dxa"/>
            <w:tcBorders>
              <w:bottom w:val="single" w:sz="4" w:space="0" w:color="auto"/>
            </w:tcBorders>
            <w:shd w:val="clear" w:color="auto" w:fill="auto"/>
            <w:vAlign w:val="center"/>
          </w:tcPr>
          <w:p w:rsidR="00C220C3" w:rsidRPr="006917A0" w:rsidRDefault="00C220C3" w:rsidP="00695784">
            <w:pPr>
              <w:jc w:val="center"/>
              <w:rPr>
                <w:sz w:val="20"/>
                <w:szCs w:val="20"/>
              </w:rPr>
            </w:pPr>
            <w:r w:rsidRPr="006917A0">
              <w:rPr>
                <w:sz w:val="20"/>
                <w:szCs w:val="20"/>
              </w:rPr>
              <w:t>3.145 (0.6%)</w:t>
            </w:r>
          </w:p>
        </w:tc>
      </w:tr>
      <w:tr w:rsidR="00C220C3" w:rsidRPr="006917A0" w:rsidTr="004D0188">
        <w:tc>
          <w:tcPr>
            <w:tcW w:w="2376" w:type="dxa"/>
            <w:tcBorders>
              <w:bottom w:val="single" w:sz="4" w:space="0" w:color="auto"/>
            </w:tcBorders>
            <w:shd w:val="clear" w:color="auto" w:fill="auto"/>
          </w:tcPr>
          <w:p w:rsidR="00C220C3" w:rsidRPr="006917A0" w:rsidRDefault="00C220C3" w:rsidP="004D0188">
            <w:pPr>
              <w:rPr>
                <w:b/>
                <w:sz w:val="20"/>
                <w:szCs w:val="20"/>
              </w:rPr>
            </w:pPr>
            <w:r w:rsidRPr="006917A0">
              <w:rPr>
                <w:b/>
                <w:sz w:val="20"/>
                <w:szCs w:val="20"/>
              </w:rPr>
              <w:t>Global total (males)</w:t>
            </w:r>
          </w:p>
        </w:tc>
        <w:tc>
          <w:tcPr>
            <w:tcW w:w="1665" w:type="dxa"/>
            <w:tcBorders>
              <w:bottom w:val="single" w:sz="4" w:space="0" w:color="auto"/>
            </w:tcBorders>
            <w:shd w:val="clear" w:color="auto" w:fill="auto"/>
            <w:vAlign w:val="center"/>
          </w:tcPr>
          <w:p w:rsidR="00C220C3" w:rsidRPr="006917A0" w:rsidRDefault="00C220C3" w:rsidP="00695784">
            <w:pPr>
              <w:jc w:val="center"/>
              <w:rPr>
                <w:b/>
                <w:sz w:val="20"/>
                <w:szCs w:val="20"/>
              </w:rPr>
            </w:pPr>
            <w:r w:rsidRPr="006917A0">
              <w:rPr>
                <w:b/>
                <w:sz w:val="20"/>
                <w:szCs w:val="20"/>
              </w:rPr>
              <w:t>89.4</w:t>
            </w:r>
            <w:r w:rsidRPr="006917A0">
              <w:rPr>
                <w:b/>
                <w:sz w:val="20"/>
                <w:szCs w:val="20"/>
                <w:vertAlign w:val="superscript"/>
              </w:rPr>
              <w:t>a</w:t>
            </w:r>
            <w:r w:rsidRPr="006917A0">
              <w:rPr>
                <w:b/>
                <w:sz w:val="20"/>
                <w:szCs w:val="20"/>
              </w:rPr>
              <w:t xml:space="preserve"> (4.8%)</w:t>
            </w:r>
          </w:p>
        </w:tc>
        <w:tc>
          <w:tcPr>
            <w:tcW w:w="1666" w:type="dxa"/>
            <w:tcBorders>
              <w:bottom w:val="single" w:sz="4" w:space="0" w:color="auto"/>
            </w:tcBorders>
            <w:shd w:val="clear" w:color="auto" w:fill="auto"/>
            <w:vAlign w:val="center"/>
          </w:tcPr>
          <w:p w:rsidR="00C220C3" w:rsidRPr="006917A0" w:rsidRDefault="00C220C3" w:rsidP="00695784">
            <w:pPr>
              <w:jc w:val="center"/>
              <w:rPr>
                <w:b/>
                <w:sz w:val="20"/>
                <w:szCs w:val="20"/>
              </w:rPr>
            </w:pPr>
            <w:r w:rsidRPr="006917A0">
              <w:rPr>
                <w:b/>
                <w:sz w:val="20"/>
                <w:szCs w:val="20"/>
              </w:rPr>
              <w:t>283.3</w:t>
            </w:r>
            <w:r w:rsidRPr="006917A0">
              <w:rPr>
                <w:b/>
                <w:sz w:val="20"/>
                <w:szCs w:val="20"/>
                <w:vertAlign w:val="superscript"/>
              </w:rPr>
              <w:t>a</w:t>
            </w:r>
            <w:r w:rsidRPr="006917A0">
              <w:rPr>
                <w:b/>
                <w:sz w:val="20"/>
                <w:szCs w:val="20"/>
              </w:rPr>
              <w:t xml:space="preserve"> (15.1%)</w:t>
            </w:r>
          </w:p>
        </w:tc>
        <w:tc>
          <w:tcPr>
            <w:tcW w:w="1666" w:type="dxa"/>
            <w:tcBorders>
              <w:bottom w:val="single" w:sz="4" w:space="0" w:color="auto"/>
              <w:right w:val="single" w:sz="4" w:space="0" w:color="auto"/>
            </w:tcBorders>
            <w:shd w:val="clear" w:color="auto" w:fill="auto"/>
            <w:vAlign w:val="center"/>
          </w:tcPr>
          <w:p w:rsidR="00C220C3" w:rsidRPr="006917A0" w:rsidRDefault="00C220C3" w:rsidP="00695784">
            <w:pPr>
              <w:jc w:val="center"/>
              <w:rPr>
                <w:b/>
                <w:sz w:val="20"/>
                <w:szCs w:val="20"/>
              </w:rPr>
            </w:pPr>
            <w:r w:rsidRPr="006917A0">
              <w:rPr>
                <w:b/>
                <w:sz w:val="20"/>
                <w:szCs w:val="20"/>
              </w:rPr>
              <w:t>4.7</w:t>
            </w:r>
            <w:r w:rsidRPr="006917A0">
              <w:rPr>
                <w:b/>
                <w:sz w:val="20"/>
                <w:szCs w:val="20"/>
                <w:vertAlign w:val="superscript"/>
              </w:rPr>
              <w:t>a</w:t>
            </w:r>
            <w:r w:rsidRPr="006917A0">
              <w:rPr>
                <w:b/>
                <w:sz w:val="20"/>
                <w:szCs w:val="20"/>
              </w:rPr>
              <w:t xml:space="preserve"> (0.3%)</w:t>
            </w:r>
          </w:p>
        </w:tc>
        <w:tc>
          <w:tcPr>
            <w:tcW w:w="1666" w:type="dxa"/>
            <w:tcBorders>
              <w:left w:val="single" w:sz="4" w:space="0" w:color="auto"/>
              <w:bottom w:val="single" w:sz="4" w:space="0" w:color="auto"/>
            </w:tcBorders>
            <w:shd w:val="clear" w:color="auto" w:fill="auto"/>
            <w:vAlign w:val="center"/>
          </w:tcPr>
          <w:p w:rsidR="00C220C3" w:rsidRPr="006917A0" w:rsidRDefault="00C220C3" w:rsidP="00695784">
            <w:pPr>
              <w:jc w:val="center"/>
              <w:rPr>
                <w:b/>
                <w:sz w:val="20"/>
                <w:szCs w:val="20"/>
              </w:rPr>
            </w:pPr>
            <w:r w:rsidRPr="006917A0">
              <w:rPr>
                <w:b/>
                <w:sz w:val="20"/>
                <w:szCs w:val="20"/>
              </w:rPr>
              <w:t>12.1 (0.6%)</w:t>
            </w:r>
          </w:p>
        </w:tc>
      </w:tr>
    </w:tbl>
    <w:p w:rsidR="00C220C3" w:rsidRPr="006917A0" w:rsidRDefault="00C220C3" w:rsidP="00C220C3">
      <w:pPr>
        <w:spacing w:after="0"/>
        <w:rPr>
          <w:b/>
          <w:sz w:val="20"/>
          <w:szCs w:val="20"/>
          <w:vertAlign w:val="superscript"/>
        </w:rPr>
      </w:pPr>
    </w:p>
    <w:p w:rsidR="00C220C3" w:rsidRPr="00B25FFF" w:rsidRDefault="00C220C3" w:rsidP="00FF1F7D">
      <w:pPr>
        <w:spacing w:after="0"/>
        <w:jc w:val="both"/>
        <w:rPr>
          <w:b/>
        </w:rPr>
      </w:pPr>
      <w:r w:rsidRPr="006917A0">
        <w:rPr>
          <w:sz w:val="20"/>
          <w:szCs w:val="20"/>
        </w:rPr>
        <w:t>Lower and upper bounds for each regional set of estimates (by sex) were computed by refitting the constant-</w:t>
      </w:r>
      <w:proofErr w:type="gramStart"/>
      <w:r w:rsidRPr="006917A0">
        <w:rPr>
          <w:sz w:val="20"/>
          <w:szCs w:val="20"/>
        </w:rPr>
        <w:t>incidence</w:t>
      </w:r>
      <w:proofErr w:type="gramEnd"/>
      <w:r w:rsidRPr="006917A0">
        <w:rPr>
          <w:sz w:val="20"/>
          <w:szCs w:val="20"/>
        </w:rPr>
        <w:t xml:space="preserve"> model firstly to the lower bounds of the pooled prevalence values by age, and then to the upper bounds of the pooled prevalence values by age. These were then separately summed over all regions to give lower and upper bounds for the global estimates. </w:t>
      </w:r>
      <w:proofErr w:type="spellStart"/>
      <w:proofErr w:type="gramStart"/>
      <w:r w:rsidRPr="006917A0">
        <w:rPr>
          <w:b/>
          <w:sz w:val="20"/>
          <w:szCs w:val="20"/>
          <w:vertAlign w:val="superscript"/>
        </w:rPr>
        <w:t>a</w:t>
      </w:r>
      <w:r w:rsidRPr="006917A0">
        <w:rPr>
          <w:sz w:val="20"/>
          <w:szCs w:val="20"/>
        </w:rPr>
        <w:t>Totals</w:t>
      </w:r>
      <w:proofErr w:type="spellEnd"/>
      <w:proofErr w:type="gramEnd"/>
      <w:r w:rsidRPr="006917A0">
        <w:rPr>
          <w:sz w:val="20"/>
          <w:szCs w:val="20"/>
        </w:rPr>
        <w:t xml:space="preserve"> slightly different due to rounding; </w:t>
      </w:r>
      <w:proofErr w:type="spellStart"/>
      <w:r w:rsidRPr="006917A0">
        <w:rPr>
          <w:sz w:val="20"/>
          <w:szCs w:val="20"/>
          <w:vertAlign w:val="superscript"/>
        </w:rPr>
        <w:t>b</w:t>
      </w:r>
      <w:r w:rsidRPr="006917A0">
        <w:rPr>
          <w:sz w:val="20"/>
          <w:szCs w:val="20"/>
        </w:rPr>
        <w:t>Uncertainty</w:t>
      </w:r>
      <w:proofErr w:type="spellEnd"/>
      <w:r w:rsidRPr="006917A0">
        <w:rPr>
          <w:sz w:val="20"/>
          <w:szCs w:val="20"/>
        </w:rPr>
        <w:t xml:space="preserve"> analysis not done to inclusion of prevalence values with estimated sample size and/or undefined age limits (default estimates used).</w:t>
      </w:r>
    </w:p>
    <w:sectPr w:rsidR="00C220C3" w:rsidRPr="00B25FFF" w:rsidSect="008677F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5B9" w:rsidRDefault="005C45B9" w:rsidP="009C4FA5">
      <w:pPr>
        <w:spacing w:after="0" w:line="240" w:lineRule="auto"/>
      </w:pPr>
      <w:r>
        <w:separator/>
      </w:r>
    </w:p>
  </w:endnote>
  <w:endnote w:type="continuationSeparator" w:id="0">
    <w:p w:rsidR="005C45B9" w:rsidRDefault="005C45B9" w:rsidP="009C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8600"/>
      <w:docPartObj>
        <w:docPartGallery w:val="Page Numbers (Bottom of Page)"/>
        <w:docPartUnique/>
      </w:docPartObj>
    </w:sdtPr>
    <w:sdtEndPr>
      <w:rPr>
        <w:noProof/>
      </w:rPr>
    </w:sdtEndPr>
    <w:sdtContent>
      <w:p w:rsidR="00856FD2" w:rsidRDefault="00856FD2">
        <w:pPr>
          <w:pStyle w:val="Footer"/>
          <w:jc w:val="center"/>
        </w:pPr>
        <w:r>
          <w:fldChar w:fldCharType="begin"/>
        </w:r>
        <w:r>
          <w:instrText xml:space="preserve"> PAGE   \* MERGEFORMAT </w:instrText>
        </w:r>
        <w:r>
          <w:fldChar w:fldCharType="separate"/>
        </w:r>
        <w:r w:rsidR="008143FC">
          <w:rPr>
            <w:noProof/>
          </w:rPr>
          <w:t>1</w:t>
        </w:r>
        <w:r>
          <w:rPr>
            <w:noProof/>
          </w:rPr>
          <w:fldChar w:fldCharType="end"/>
        </w:r>
      </w:p>
    </w:sdtContent>
  </w:sdt>
  <w:p w:rsidR="00856FD2" w:rsidRDefault="00856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5B9" w:rsidRDefault="005C45B9" w:rsidP="009C4FA5">
      <w:pPr>
        <w:spacing w:after="0" w:line="240" w:lineRule="auto"/>
      </w:pPr>
      <w:r>
        <w:separator/>
      </w:r>
    </w:p>
  </w:footnote>
  <w:footnote w:type="continuationSeparator" w:id="0">
    <w:p w:rsidR="005C45B9" w:rsidRDefault="005C45B9" w:rsidP="009C4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501F8"/>
    <w:multiLevelType w:val="hybridMultilevel"/>
    <w:tmpl w:val="B03EE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9A4275C"/>
    <w:multiLevelType w:val="hybridMultilevel"/>
    <w:tmpl w:val="C5EA5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28F63DE"/>
    <w:multiLevelType w:val="hybridMultilevel"/>
    <w:tmpl w:val="09AE9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352534F"/>
    <w:multiLevelType w:val="hybridMultilevel"/>
    <w:tmpl w:val="6BB2F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B56745C"/>
    <w:multiLevelType w:val="hybridMultilevel"/>
    <w:tmpl w:val="75944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0wzaadsya5vxreertmpvrzmvxza55faedpw&quot;&gt;WHO 2012 manuscript refs&lt;record-ids&gt;&lt;item&gt;40&lt;/item&gt;&lt;item&gt;42&lt;/item&gt;&lt;/record-ids&gt;&lt;/item&gt;&lt;/Libraries&gt;"/>
  </w:docVars>
  <w:rsids>
    <w:rsidRoot w:val="0034527D"/>
    <w:rsid w:val="00005BA0"/>
    <w:rsid w:val="00012CA6"/>
    <w:rsid w:val="00012E23"/>
    <w:rsid w:val="00014082"/>
    <w:rsid w:val="00014F6D"/>
    <w:rsid w:val="00015C72"/>
    <w:rsid w:val="0002717D"/>
    <w:rsid w:val="000312AE"/>
    <w:rsid w:val="00041786"/>
    <w:rsid w:val="00043B04"/>
    <w:rsid w:val="00047262"/>
    <w:rsid w:val="000529FB"/>
    <w:rsid w:val="000602C0"/>
    <w:rsid w:val="0006336D"/>
    <w:rsid w:val="000669FC"/>
    <w:rsid w:val="000670A8"/>
    <w:rsid w:val="000730EC"/>
    <w:rsid w:val="000817E2"/>
    <w:rsid w:val="000826AE"/>
    <w:rsid w:val="00083590"/>
    <w:rsid w:val="000868BB"/>
    <w:rsid w:val="00087CEB"/>
    <w:rsid w:val="00095811"/>
    <w:rsid w:val="00095ECE"/>
    <w:rsid w:val="00096C3B"/>
    <w:rsid w:val="000A0DCE"/>
    <w:rsid w:val="000A3030"/>
    <w:rsid w:val="000A7F2C"/>
    <w:rsid w:val="000B0F76"/>
    <w:rsid w:val="000B5B3C"/>
    <w:rsid w:val="000B6BFD"/>
    <w:rsid w:val="000C0587"/>
    <w:rsid w:val="000C5FB4"/>
    <w:rsid w:val="000D30D1"/>
    <w:rsid w:val="000D3A20"/>
    <w:rsid w:val="000D4B50"/>
    <w:rsid w:val="000E1423"/>
    <w:rsid w:val="000E46F4"/>
    <w:rsid w:val="000F436A"/>
    <w:rsid w:val="000F5DD8"/>
    <w:rsid w:val="00100F6E"/>
    <w:rsid w:val="001024A3"/>
    <w:rsid w:val="001076C9"/>
    <w:rsid w:val="00110CE0"/>
    <w:rsid w:val="00113E0B"/>
    <w:rsid w:val="00114974"/>
    <w:rsid w:val="00121512"/>
    <w:rsid w:val="001215C0"/>
    <w:rsid w:val="00121AE5"/>
    <w:rsid w:val="00124EBD"/>
    <w:rsid w:val="00125174"/>
    <w:rsid w:val="00135DF8"/>
    <w:rsid w:val="00136122"/>
    <w:rsid w:val="001375FD"/>
    <w:rsid w:val="001401FD"/>
    <w:rsid w:val="00141203"/>
    <w:rsid w:val="00151920"/>
    <w:rsid w:val="00152B50"/>
    <w:rsid w:val="00153998"/>
    <w:rsid w:val="00156A0D"/>
    <w:rsid w:val="00167DBA"/>
    <w:rsid w:val="00171C5F"/>
    <w:rsid w:val="001753A7"/>
    <w:rsid w:val="00185015"/>
    <w:rsid w:val="00194583"/>
    <w:rsid w:val="001A0790"/>
    <w:rsid w:val="001A3713"/>
    <w:rsid w:val="001A6D10"/>
    <w:rsid w:val="001B0CDC"/>
    <w:rsid w:val="001B2061"/>
    <w:rsid w:val="001B7DF5"/>
    <w:rsid w:val="001C07B6"/>
    <w:rsid w:val="001C5BB5"/>
    <w:rsid w:val="001D4D95"/>
    <w:rsid w:val="001E1F27"/>
    <w:rsid w:val="001E607B"/>
    <w:rsid w:val="001E6B33"/>
    <w:rsid w:val="001E7913"/>
    <w:rsid w:val="001F1967"/>
    <w:rsid w:val="001F7EC9"/>
    <w:rsid w:val="002010F5"/>
    <w:rsid w:val="00205177"/>
    <w:rsid w:val="00210F38"/>
    <w:rsid w:val="00214C01"/>
    <w:rsid w:val="00215198"/>
    <w:rsid w:val="0021756C"/>
    <w:rsid w:val="00217B4D"/>
    <w:rsid w:val="002204E4"/>
    <w:rsid w:val="00224C0D"/>
    <w:rsid w:val="00232224"/>
    <w:rsid w:val="00235333"/>
    <w:rsid w:val="002400B8"/>
    <w:rsid w:val="0024437B"/>
    <w:rsid w:val="00250B32"/>
    <w:rsid w:val="00254B8F"/>
    <w:rsid w:val="00265078"/>
    <w:rsid w:val="00267AD9"/>
    <w:rsid w:val="00272C1A"/>
    <w:rsid w:val="00282114"/>
    <w:rsid w:val="00283206"/>
    <w:rsid w:val="00297C5E"/>
    <w:rsid w:val="00297D09"/>
    <w:rsid w:val="002A08B0"/>
    <w:rsid w:val="002A121F"/>
    <w:rsid w:val="002A44DB"/>
    <w:rsid w:val="002A4C94"/>
    <w:rsid w:val="002B0E25"/>
    <w:rsid w:val="002B40DE"/>
    <w:rsid w:val="002B4161"/>
    <w:rsid w:val="002C3092"/>
    <w:rsid w:val="002C4293"/>
    <w:rsid w:val="002C6DD9"/>
    <w:rsid w:val="002C78F5"/>
    <w:rsid w:val="002E69BC"/>
    <w:rsid w:val="002F24FC"/>
    <w:rsid w:val="002F33C8"/>
    <w:rsid w:val="002F4946"/>
    <w:rsid w:val="002F645F"/>
    <w:rsid w:val="002F70BB"/>
    <w:rsid w:val="002F7A5A"/>
    <w:rsid w:val="00304077"/>
    <w:rsid w:val="00314869"/>
    <w:rsid w:val="0031568F"/>
    <w:rsid w:val="003203F4"/>
    <w:rsid w:val="003246B5"/>
    <w:rsid w:val="00324C0C"/>
    <w:rsid w:val="00324EB7"/>
    <w:rsid w:val="003408AE"/>
    <w:rsid w:val="00340D6C"/>
    <w:rsid w:val="0034527D"/>
    <w:rsid w:val="00350F59"/>
    <w:rsid w:val="003524B6"/>
    <w:rsid w:val="00354DFB"/>
    <w:rsid w:val="00356D2E"/>
    <w:rsid w:val="00360D10"/>
    <w:rsid w:val="003617A5"/>
    <w:rsid w:val="00367A3E"/>
    <w:rsid w:val="00372986"/>
    <w:rsid w:val="00373521"/>
    <w:rsid w:val="00374DA9"/>
    <w:rsid w:val="00375071"/>
    <w:rsid w:val="0038096E"/>
    <w:rsid w:val="00386DD3"/>
    <w:rsid w:val="00391F65"/>
    <w:rsid w:val="0039289E"/>
    <w:rsid w:val="00394A58"/>
    <w:rsid w:val="00397080"/>
    <w:rsid w:val="00397C98"/>
    <w:rsid w:val="00397EFC"/>
    <w:rsid w:val="003A272E"/>
    <w:rsid w:val="003A4A4D"/>
    <w:rsid w:val="003A7A0A"/>
    <w:rsid w:val="003B18EF"/>
    <w:rsid w:val="003B2641"/>
    <w:rsid w:val="003B336B"/>
    <w:rsid w:val="003B64BF"/>
    <w:rsid w:val="003C2328"/>
    <w:rsid w:val="003C3B1A"/>
    <w:rsid w:val="003C63A5"/>
    <w:rsid w:val="003D0C48"/>
    <w:rsid w:val="003D13A7"/>
    <w:rsid w:val="003D33AB"/>
    <w:rsid w:val="003D71B5"/>
    <w:rsid w:val="003D7722"/>
    <w:rsid w:val="003D7F5C"/>
    <w:rsid w:val="003E383B"/>
    <w:rsid w:val="003E4244"/>
    <w:rsid w:val="00405BD8"/>
    <w:rsid w:val="00405BDB"/>
    <w:rsid w:val="004068E6"/>
    <w:rsid w:val="00407779"/>
    <w:rsid w:val="004117E6"/>
    <w:rsid w:val="00416A41"/>
    <w:rsid w:val="0041750B"/>
    <w:rsid w:val="004272DB"/>
    <w:rsid w:val="004277F1"/>
    <w:rsid w:val="00435FC2"/>
    <w:rsid w:val="00436576"/>
    <w:rsid w:val="004373B3"/>
    <w:rsid w:val="0044265A"/>
    <w:rsid w:val="0045038E"/>
    <w:rsid w:val="00454400"/>
    <w:rsid w:val="004616E7"/>
    <w:rsid w:val="00464B15"/>
    <w:rsid w:val="00464E56"/>
    <w:rsid w:val="00466413"/>
    <w:rsid w:val="00467084"/>
    <w:rsid w:val="00475A11"/>
    <w:rsid w:val="00475C1E"/>
    <w:rsid w:val="00483165"/>
    <w:rsid w:val="00483502"/>
    <w:rsid w:val="004913D8"/>
    <w:rsid w:val="00493C02"/>
    <w:rsid w:val="00497794"/>
    <w:rsid w:val="004A0394"/>
    <w:rsid w:val="004A04FA"/>
    <w:rsid w:val="004A36C7"/>
    <w:rsid w:val="004B2578"/>
    <w:rsid w:val="004B30FC"/>
    <w:rsid w:val="004B354E"/>
    <w:rsid w:val="004B4DE1"/>
    <w:rsid w:val="004C3CE7"/>
    <w:rsid w:val="004C4E0B"/>
    <w:rsid w:val="004D0EEF"/>
    <w:rsid w:val="004D214E"/>
    <w:rsid w:val="004D3419"/>
    <w:rsid w:val="004D4BCB"/>
    <w:rsid w:val="004D5C39"/>
    <w:rsid w:val="004E1AFA"/>
    <w:rsid w:val="004E6FCF"/>
    <w:rsid w:val="004F0DC7"/>
    <w:rsid w:val="004F53B2"/>
    <w:rsid w:val="004F73A7"/>
    <w:rsid w:val="0050038D"/>
    <w:rsid w:val="00502CDA"/>
    <w:rsid w:val="0050362D"/>
    <w:rsid w:val="005059DF"/>
    <w:rsid w:val="00513894"/>
    <w:rsid w:val="00530C26"/>
    <w:rsid w:val="00531C00"/>
    <w:rsid w:val="005405A9"/>
    <w:rsid w:val="0054390F"/>
    <w:rsid w:val="00543979"/>
    <w:rsid w:val="005453F4"/>
    <w:rsid w:val="00545C0F"/>
    <w:rsid w:val="0055571F"/>
    <w:rsid w:val="00560B65"/>
    <w:rsid w:val="005642D8"/>
    <w:rsid w:val="00566BEB"/>
    <w:rsid w:val="005672D3"/>
    <w:rsid w:val="00571940"/>
    <w:rsid w:val="00574254"/>
    <w:rsid w:val="00577BFE"/>
    <w:rsid w:val="00580BC1"/>
    <w:rsid w:val="005825AA"/>
    <w:rsid w:val="005835A1"/>
    <w:rsid w:val="005838E0"/>
    <w:rsid w:val="005853B5"/>
    <w:rsid w:val="00587674"/>
    <w:rsid w:val="005A1154"/>
    <w:rsid w:val="005A361A"/>
    <w:rsid w:val="005A6306"/>
    <w:rsid w:val="005A6380"/>
    <w:rsid w:val="005A7A89"/>
    <w:rsid w:val="005B64E7"/>
    <w:rsid w:val="005B674C"/>
    <w:rsid w:val="005C0A17"/>
    <w:rsid w:val="005C3688"/>
    <w:rsid w:val="005C438C"/>
    <w:rsid w:val="005C45B9"/>
    <w:rsid w:val="005C4D01"/>
    <w:rsid w:val="005D1411"/>
    <w:rsid w:val="005D4671"/>
    <w:rsid w:val="005D5CAB"/>
    <w:rsid w:val="005E42EE"/>
    <w:rsid w:val="005F1126"/>
    <w:rsid w:val="005F335B"/>
    <w:rsid w:val="005F5095"/>
    <w:rsid w:val="005F5433"/>
    <w:rsid w:val="0060022A"/>
    <w:rsid w:val="00603CEF"/>
    <w:rsid w:val="006121B1"/>
    <w:rsid w:val="0061395D"/>
    <w:rsid w:val="0061430A"/>
    <w:rsid w:val="006145E1"/>
    <w:rsid w:val="00614E7D"/>
    <w:rsid w:val="006202D5"/>
    <w:rsid w:val="006225F1"/>
    <w:rsid w:val="00624680"/>
    <w:rsid w:val="00627054"/>
    <w:rsid w:val="00627BF0"/>
    <w:rsid w:val="00636CE3"/>
    <w:rsid w:val="00637FE0"/>
    <w:rsid w:val="00641BAA"/>
    <w:rsid w:val="006428A2"/>
    <w:rsid w:val="00644F33"/>
    <w:rsid w:val="006465F0"/>
    <w:rsid w:val="0065145E"/>
    <w:rsid w:val="00655EE6"/>
    <w:rsid w:val="00656353"/>
    <w:rsid w:val="006573A1"/>
    <w:rsid w:val="00662985"/>
    <w:rsid w:val="00663DF0"/>
    <w:rsid w:val="0066758F"/>
    <w:rsid w:val="00675452"/>
    <w:rsid w:val="00676F27"/>
    <w:rsid w:val="0068346A"/>
    <w:rsid w:val="006917A0"/>
    <w:rsid w:val="0069523E"/>
    <w:rsid w:val="00695784"/>
    <w:rsid w:val="006A1A23"/>
    <w:rsid w:val="006A601C"/>
    <w:rsid w:val="006A6132"/>
    <w:rsid w:val="006A64DA"/>
    <w:rsid w:val="006A781E"/>
    <w:rsid w:val="006B2BF2"/>
    <w:rsid w:val="006B5B8C"/>
    <w:rsid w:val="006B5E1C"/>
    <w:rsid w:val="006B6FE5"/>
    <w:rsid w:val="006C4148"/>
    <w:rsid w:val="006C4515"/>
    <w:rsid w:val="006E454C"/>
    <w:rsid w:val="006E6CED"/>
    <w:rsid w:val="006F1A5A"/>
    <w:rsid w:val="006F249E"/>
    <w:rsid w:val="006F2F38"/>
    <w:rsid w:val="006F3D37"/>
    <w:rsid w:val="006F4775"/>
    <w:rsid w:val="006F6B9B"/>
    <w:rsid w:val="006F77B0"/>
    <w:rsid w:val="006F7CAC"/>
    <w:rsid w:val="00702C0D"/>
    <w:rsid w:val="0070381C"/>
    <w:rsid w:val="007115BD"/>
    <w:rsid w:val="00713B18"/>
    <w:rsid w:val="0071652C"/>
    <w:rsid w:val="0072369D"/>
    <w:rsid w:val="007246A3"/>
    <w:rsid w:val="0072556A"/>
    <w:rsid w:val="00725D40"/>
    <w:rsid w:val="00726537"/>
    <w:rsid w:val="0072696C"/>
    <w:rsid w:val="0073244D"/>
    <w:rsid w:val="00733F9F"/>
    <w:rsid w:val="00735D52"/>
    <w:rsid w:val="007361D9"/>
    <w:rsid w:val="0073670B"/>
    <w:rsid w:val="007441FC"/>
    <w:rsid w:val="0075083A"/>
    <w:rsid w:val="00753174"/>
    <w:rsid w:val="007561D0"/>
    <w:rsid w:val="00761389"/>
    <w:rsid w:val="0076419F"/>
    <w:rsid w:val="007653ED"/>
    <w:rsid w:val="00765E27"/>
    <w:rsid w:val="007728C7"/>
    <w:rsid w:val="007744D2"/>
    <w:rsid w:val="007749FE"/>
    <w:rsid w:val="00781FCA"/>
    <w:rsid w:val="007868C3"/>
    <w:rsid w:val="007900F5"/>
    <w:rsid w:val="00794098"/>
    <w:rsid w:val="00795563"/>
    <w:rsid w:val="007A4057"/>
    <w:rsid w:val="007B2CED"/>
    <w:rsid w:val="007B48B8"/>
    <w:rsid w:val="007C2760"/>
    <w:rsid w:val="007C6D2D"/>
    <w:rsid w:val="007C7481"/>
    <w:rsid w:val="007D07CC"/>
    <w:rsid w:val="007D125C"/>
    <w:rsid w:val="007D4524"/>
    <w:rsid w:val="007E1BAF"/>
    <w:rsid w:val="007E3F7E"/>
    <w:rsid w:val="007F11EF"/>
    <w:rsid w:val="007F1295"/>
    <w:rsid w:val="007F1441"/>
    <w:rsid w:val="007F3819"/>
    <w:rsid w:val="007F43F1"/>
    <w:rsid w:val="007F45A4"/>
    <w:rsid w:val="007F4D48"/>
    <w:rsid w:val="007F7EA4"/>
    <w:rsid w:val="00800D3D"/>
    <w:rsid w:val="00801C64"/>
    <w:rsid w:val="008047B5"/>
    <w:rsid w:val="0080692A"/>
    <w:rsid w:val="008143FC"/>
    <w:rsid w:val="0081467D"/>
    <w:rsid w:val="00817006"/>
    <w:rsid w:val="00820D1E"/>
    <w:rsid w:val="008223ED"/>
    <w:rsid w:val="008229B9"/>
    <w:rsid w:val="00822AB1"/>
    <w:rsid w:val="0082365B"/>
    <w:rsid w:val="00825A4E"/>
    <w:rsid w:val="00830760"/>
    <w:rsid w:val="00831080"/>
    <w:rsid w:val="008353F2"/>
    <w:rsid w:val="008358BD"/>
    <w:rsid w:val="00840D94"/>
    <w:rsid w:val="00846F2E"/>
    <w:rsid w:val="00850A62"/>
    <w:rsid w:val="00856FD2"/>
    <w:rsid w:val="00863517"/>
    <w:rsid w:val="00864F6B"/>
    <w:rsid w:val="008677F4"/>
    <w:rsid w:val="00870937"/>
    <w:rsid w:val="00870A6B"/>
    <w:rsid w:val="0087571B"/>
    <w:rsid w:val="00892830"/>
    <w:rsid w:val="008A0B3F"/>
    <w:rsid w:val="008A391A"/>
    <w:rsid w:val="008A6B80"/>
    <w:rsid w:val="008B66AF"/>
    <w:rsid w:val="008D04E8"/>
    <w:rsid w:val="008D0F17"/>
    <w:rsid w:val="008D13F0"/>
    <w:rsid w:val="008D2382"/>
    <w:rsid w:val="008D3448"/>
    <w:rsid w:val="008E020C"/>
    <w:rsid w:val="008E0A15"/>
    <w:rsid w:val="008E47F4"/>
    <w:rsid w:val="008E7800"/>
    <w:rsid w:val="008E7E8A"/>
    <w:rsid w:val="008F6F2F"/>
    <w:rsid w:val="0090194A"/>
    <w:rsid w:val="00901E3E"/>
    <w:rsid w:val="00903E28"/>
    <w:rsid w:val="00907136"/>
    <w:rsid w:val="0091266B"/>
    <w:rsid w:val="009321BC"/>
    <w:rsid w:val="00935E0F"/>
    <w:rsid w:val="00937C49"/>
    <w:rsid w:val="0094016C"/>
    <w:rsid w:val="00945158"/>
    <w:rsid w:val="009451B3"/>
    <w:rsid w:val="009462A5"/>
    <w:rsid w:val="00946978"/>
    <w:rsid w:val="00966596"/>
    <w:rsid w:val="00966B0A"/>
    <w:rsid w:val="00966CC1"/>
    <w:rsid w:val="009716B1"/>
    <w:rsid w:val="0097295E"/>
    <w:rsid w:val="00973FF3"/>
    <w:rsid w:val="009773A5"/>
    <w:rsid w:val="00981DC2"/>
    <w:rsid w:val="00982F45"/>
    <w:rsid w:val="00982F89"/>
    <w:rsid w:val="00984393"/>
    <w:rsid w:val="00984791"/>
    <w:rsid w:val="00984B7D"/>
    <w:rsid w:val="00991891"/>
    <w:rsid w:val="00993273"/>
    <w:rsid w:val="009A076C"/>
    <w:rsid w:val="009B08B8"/>
    <w:rsid w:val="009B100D"/>
    <w:rsid w:val="009B1A13"/>
    <w:rsid w:val="009B1FF2"/>
    <w:rsid w:val="009B41DC"/>
    <w:rsid w:val="009B61F0"/>
    <w:rsid w:val="009B6CF7"/>
    <w:rsid w:val="009C14A6"/>
    <w:rsid w:val="009C43AC"/>
    <w:rsid w:val="009C4FA5"/>
    <w:rsid w:val="009D2ABB"/>
    <w:rsid w:val="009D5204"/>
    <w:rsid w:val="009D7CC0"/>
    <w:rsid w:val="009E148F"/>
    <w:rsid w:val="009E22CC"/>
    <w:rsid w:val="009E22FC"/>
    <w:rsid w:val="009E3719"/>
    <w:rsid w:val="009E3BB5"/>
    <w:rsid w:val="009E3C7D"/>
    <w:rsid w:val="009F0EB5"/>
    <w:rsid w:val="009F5E89"/>
    <w:rsid w:val="009F6DF1"/>
    <w:rsid w:val="00A00877"/>
    <w:rsid w:val="00A0247D"/>
    <w:rsid w:val="00A07CA9"/>
    <w:rsid w:val="00A108E1"/>
    <w:rsid w:val="00A10B22"/>
    <w:rsid w:val="00A11247"/>
    <w:rsid w:val="00A147A3"/>
    <w:rsid w:val="00A15459"/>
    <w:rsid w:val="00A160B5"/>
    <w:rsid w:val="00A1611B"/>
    <w:rsid w:val="00A16A65"/>
    <w:rsid w:val="00A1783D"/>
    <w:rsid w:val="00A21383"/>
    <w:rsid w:val="00A22888"/>
    <w:rsid w:val="00A24775"/>
    <w:rsid w:val="00A26B65"/>
    <w:rsid w:val="00A32A7B"/>
    <w:rsid w:val="00A37A87"/>
    <w:rsid w:val="00A41EB0"/>
    <w:rsid w:val="00A43695"/>
    <w:rsid w:val="00A5112F"/>
    <w:rsid w:val="00A52FEC"/>
    <w:rsid w:val="00A54511"/>
    <w:rsid w:val="00A61060"/>
    <w:rsid w:val="00A640BB"/>
    <w:rsid w:val="00A674F8"/>
    <w:rsid w:val="00A6778F"/>
    <w:rsid w:val="00A7208E"/>
    <w:rsid w:val="00A75549"/>
    <w:rsid w:val="00A760E8"/>
    <w:rsid w:val="00A86AA6"/>
    <w:rsid w:val="00A86D19"/>
    <w:rsid w:val="00A8728F"/>
    <w:rsid w:val="00A87537"/>
    <w:rsid w:val="00A90060"/>
    <w:rsid w:val="00A9022B"/>
    <w:rsid w:val="00A929F7"/>
    <w:rsid w:val="00A962F7"/>
    <w:rsid w:val="00A96EAF"/>
    <w:rsid w:val="00AA4839"/>
    <w:rsid w:val="00AB6F64"/>
    <w:rsid w:val="00AC2523"/>
    <w:rsid w:val="00AC44B2"/>
    <w:rsid w:val="00AD09F6"/>
    <w:rsid w:val="00AD15EF"/>
    <w:rsid w:val="00AD3B4C"/>
    <w:rsid w:val="00AE3B5B"/>
    <w:rsid w:val="00AF1760"/>
    <w:rsid w:val="00AF50BF"/>
    <w:rsid w:val="00B00B43"/>
    <w:rsid w:val="00B01C68"/>
    <w:rsid w:val="00B0276B"/>
    <w:rsid w:val="00B0596A"/>
    <w:rsid w:val="00B10B6A"/>
    <w:rsid w:val="00B163C4"/>
    <w:rsid w:val="00B213A3"/>
    <w:rsid w:val="00B21437"/>
    <w:rsid w:val="00B22EAB"/>
    <w:rsid w:val="00B25FFF"/>
    <w:rsid w:val="00B31488"/>
    <w:rsid w:val="00B31D38"/>
    <w:rsid w:val="00B3365D"/>
    <w:rsid w:val="00B35419"/>
    <w:rsid w:val="00B42D78"/>
    <w:rsid w:val="00B45DC8"/>
    <w:rsid w:val="00B50A65"/>
    <w:rsid w:val="00B53CD2"/>
    <w:rsid w:val="00B5740B"/>
    <w:rsid w:val="00B6025F"/>
    <w:rsid w:val="00B60287"/>
    <w:rsid w:val="00B64630"/>
    <w:rsid w:val="00B675C1"/>
    <w:rsid w:val="00B72406"/>
    <w:rsid w:val="00B76BFD"/>
    <w:rsid w:val="00B76E90"/>
    <w:rsid w:val="00B771C5"/>
    <w:rsid w:val="00B77A27"/>
    <w:rsid w:val="00B8423F"/>
    <w:rsid w:val="00B86F6A"/>
    <w:rsid w:val="00B90680"/>
    <w:rsid w:val="00B92F9E"/>
    <w:rsid w:val="00B94024"/>
    <w:rsid w:val="00B94C11"/>
    <w:rsid w:val="00B967AC"/>
    <w:rsid w:val="00B96E67"/>
    <w:rsid w:val="00B97B68"/>
    <w:rsid w:val="00BA3464"/>
    <w:rsid w:val="00BA5B7E"/>
    <w:rsid w:val="00BA69EC"/>
    <w:rsid w:val="00BB30B1"/>
    <w:rsid w:val="00BB59BA"/>
    <w:rsid w:val="00BC320B"/>
    <w:rsid w:val="00BC36AB"/>
    <w:rsid w:val="00BC3FD5"/>
    <w:rsid w:val="00BC4049"/>
    <w:rsid w:val="00BC6456"/>
    <w:rsid w:val="00BC74D6"/>
    <w:rsid w:val="00BD3E52"/>
    <w:rsid w:val="00BE28E0"/>
    <w:rsid w:val="00BE2DEF"/>
    <w:rsid w:val="00BF1930"/>
    <w:rsid w:val="00BF1BE9"/>
    <w:rsid w:val="00BF427C"/>
    <w:rsid w:val="00BF7D52"/>
    <w:rsid w:val="00C00907"/>
    <w:rsid w:val="00C023DB"/>
    <w:rsid w:val="00C05EDC"/>
    <w:rsid w:val="00C1195C"/>
    <w:rsid w:val="00C1424A"/>
    <w:rsid w:val="00C21CC2"/>
    <w:rsid w:val="00C220C3"/>
    <w:rsid w:val="00C27292"/>
    <w:rsid w:val="00C27922"/>
    <w:rsid w:val="00C27A60"/>
    <w:rsid w:val="00C321F1"/>
    <w:rsid w:val="00C32A7B"/>
    <w:rsid w:val="00C44F6B"/>
    <w:rsid w:val="00C47A25"/>
    <w:rsid w:val="00C61A09"/>
    <w:rsid w:val="00C63F7C"/>
    <w:rsid w:val="00C643FB"/>
    <w:rsid w:val="00C65A1F"/>
    <w:rsid w:val="00C713AA"/>
    <w:rsid w:val="00C73895"/>
    <w:rsid w:val="00C73A2B"/>
    <w:rsid w:val="00C81D35"/>
    <w:rsid w:val="00CA024E"/>
    <w:rsid w:val="00CA150D"/>
    <w:rsid w:val="00CA5AA6"/>
    <w:rsid w:val="00CB3D76"/>
    <w:rsid w:val="00CB601F"/>
    <w:rsid w:val="00CC0708"/>
    <w:rsid w:val="00CC7AAF"/>
    <w:rsid w:val="00CD1FA6"/>
    <w:rsid w:val="00CD3D4A"/>
    <w:rsid w:val="00CE0AC3"/>
    <w:rsid w:val="00CE59EA"/>
    <w:rsid w:val="00CE746A"/>
    <w:rsid w:val="00CF28AB"/>
    <w:rsid w:val="00CF5B40"/>
    <w:rsid w:val="00CF6327"/>
    <w:rsid w:val="00CF640F"/>
    <w:rsid w:val="00CF779E"/>
    <w:rsid w:val="00CF7BE0"/>
    <w:rsid w:val="00D00E92"/>
    <w:rsid w:val="00D012A9"/>
    <w:rsid w:val="00D05A93"/>
    <w:rsid w:val="00D11233"/>
    <w:rsid w:val="00D11F6F"/>
    <w:rsid w:val="00D14A9D"/>
    <w:rsid w:val="00D1793D"/>
    <w:rsid w:val="00D22824"/>
    <w:rsid w:val="00D279B3"/>
    <w:rsid w:val="00D31782"/>
    <w:rsid w:val="00D32439"/>
    <w:rsid w:val="00D32767"/>
    <w:rsid w:val="00D331E7"/>
    <w:rsid w:val="00D3543F"/>
    <w:rsid w:val="00D36D15"/>
    <w:rsid w:val="00D40820"/>
    <w:rsid w:val="00D41C88"/>
    <w:rsid w:val="00D4228D"/>
    <w:rsid w:val="00D43276"/>
    <w:rsid w:val="00D45059"/>
    <w:rsid w:val="00D45B95"/>
    <w:rsid w:val="00D5239D"/>
    <w:rsid w:val="00D5375D"/>
    <w:rsid w:val="00D53CBE"/>
    <w:rsid w:val="00D560DA"/>
    <w:rsid w:val="00D5683E"/>
    <w:rsid w:val="00D56FCB"/>
    <w:rsid w:val="00D60728"/>
    <w:rsid w:val="00D6445C"/>
    <w:rsid w:val="00D644DE"/>
    <w:rsid w:val="00D658D9"/>
    <w:rsid w:val="00D67BDE"/>
    <w:rsid w:val="00D75D78"/>
    <w:rsid w:val="00D82E79"/>
    <w:rsid w:val="00D82FFF"/>
    <w:rsid w:val="00D85AE8"/>
    <w:rsid w:val="00D9018A"/>
    <w:rsid w:val="00D903D3"/>
    <w:rsid w:val="00D934D2"/>
    <w:rsid w:val="00D95C36"/>
    <w:rsid w:val="00DA0F52"/>
    <w:rsid w:val="00DA544E"/>
    <w:rsid w:val="00DA59BF"/>
    <w:rsid w:val="00DA7440"/>
    <w:rsid w:val="00DA793E"/>
    <w:rsid w:val="00DB33B6"/>
    <w:rsid w:val="00DB4B76"/>
    <w:rsid w:val="00DC0A3D"/>
    <w:rsid w:val="00DC6390"/>
    <w:rsid w:val="00DC6599"/>
    <w:rsid w:val="00DC693C"/>
    <w:rsid w:val="00DD4B13"/>
    <w:rsid w:val="00DD5DD6"/>
    <w:rsid w:val="00DE168C"/>
    <w:rsid w:val="00DF0911"/>
    <w:rsid w:val="00DF1975"/>
    <w:rsid w:val="00DF2245"/>
    <w:rsid w:val="00DF224D"/>
    <w:rsid w:val="00DF5510"/>
    <w:rsid w:val="00DF5608"/>
    <w:rsid w:val="00DF575F"/>
    <w:rsid w:val="00E0615C"/>
    <w:rsid w:val="00E06DE4"/>
    <w:rsid w:val="00E10F7B"/>
    <w:rsid w:val="00E1122B"/>
    <w:rsid w:val="00E1358D"/>
    <w:rsid w:val="00E13CEB"/>
    <w:rsid w:val="00E25F23"/>
    <w:rsid w:val="00E26658"/>
    <w:rsid w:val="00E314D1"/>
    <w:rsid w:val="00E338C7"/>
    <w:rsid w:val="00E35290"/>
    <w:rsid w:val="00E472B8"/>
    <w:rsid w:val="00E50242"/>
    <w:rsid w:val="00E53F0F"/>
    <w:rsid w:val="00E549CA"/>
    <w:rsid w:val="00E54E72"/>
    <w:rsid w:val="00E54E85"/>
    <w:rsid w:val="00E57049"/>
    <w:rsid w:val="00E57FA1"/>
    <w:rsid w:val="00E62125"/>
    <w:rsid w:val="00E67919"/>
    <w:rsid w:val="00E7058D"/>
    <w:rsid w:val="00E74CC4"/>
    <w:rsid w:val="00E769D1"/>
    <w:rsid w:val="00E81FBC"/>
    <w:rsid w:val="00E85313"/>
    <w:rsid w:val="00E853A4"/>
    <w:rsid w:val="00E855C2"/>
    <w:rsid w:val="00E8774F"/>
    <w:rsid w:val="00E92B4F"/>
    <w:rsid w:val="00E94266"/>
    <w:rsid w:val="00EA2D7A"/>
    <w:rsid w:val="00EA37A8"/>
    <w:rsid w:val="00EA562E"/>
    <w:rsid w:val="00EA6679"/>
    <w:rsid w:val="00EA714D"/>
    <w:rsid w:val="00EB47A8"/>
    <w:rsid w:val="00EB5116"/>
    <w:rsid w:val="00EC0B74"/>
    <w:rsid w:val="00EC10F3"/>
    <w:rsid w:val="00EC3217"/>
    <w:rsid w:val="00EC6C38"/>
    <w:rsid w:val="00EC74FA"/>
    <w:rsid w:val="00ED04EF"/>
    <w:rsid w:val="00EE0F83"/>
    <w:rsid w:val="00EE3F58"/>
    <w:rsid w:val="00EE46F1"/>
    <w:rsid w:val="00EE6299"/>
    <w:rsid w:val="00EF13A4"/>
    <w:rsid w:val="00EF3E3F"/>
    <w:rsid w:val="00EF5822"/>
    <w:rsid w:val="00F05177"/>
    <w:rsid w:val="00F06891"/>
    <w:rsid w:val="00F11010"/>
    <w:rsid w:val="00F21236"/>
    <w:rsid w:val="00F262B6"/>
    <w:rsid w:val="00F26650"/>
    <w:rsid w:val="00F26F0D"/>
    <w:rsid w:val="00F27E96"/>
    <w:rsid w:val="00F32CC0"/>
    <w:rsid w:val="00F51385"/>
    <w:rsid w:val="00F54211"/>
    <w:rsid w:val="00F5543D"/>
    <w:rsid w:val="00F57E1C"/>
    <w:rsid w:val="00F60160"/>
    <w:rsid w:val="00F612E5"/>
    <w:rsid w:val="00F61687"/>
    <w:rsid w:val="00F61C64"/>
    <w:rsid w:val="00F6232A"/>
    <w:rsid w:val="00F702CB"/>
    <w:rsid w:val="00F7408D"/>
    <w:rsid w:val="00F80E75"/>
    <w:rsid w:val="00F835AF"/>
    <w:rsid w:val="00F93CD2"/>
    <w:rsid w:val="00F95DAB"/>
    <w:rsid w:val="00F977EF"/>
    <w:rsid w:val="00FB039E"/>
    <w:rsid w:val="00FB7351"/>
    <w:rsid w:val="00FB7639"/>
    <w:rsid w:val="00FB7FDD"/>
    <w:rsid w:val="00FC1664"/>
    <w:rsid w:val="00FC5FD3"/>
    <w:rsid w:val="00FD27BD"/>
    <w:rsid w:val="00FE3363"/>
    <w:rsid w:val="00FE6295"/>
    <w:rsid w:val="00FE7768"/>
    <w:rsid w:val="00FF1F7D"/>
    <w:rsid w:val="00FF20E7"/>
    <w:rsid w:val="00FF3AD0"/>
    <w:rsid w:val="00FF4E5C"/>
    <w:rsid w:val="00FF6B6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C2760"/>
    <w:rPr>
      <w:b/>
      <w:sz w:val="28"/>
      <w:szCs w:val="28"/>
    </w:rPr>
  </w:style>
  <w:style w:type="paragraph" w:customStyle="1" w:styleId="Style2">
    <w:name w:val="Style2"/>
    <w:basedOn w:val="Normal"/>
    <w:link w:val="Style2Char"/>
    <w:qFormat/>
    <w:rsid w:val="007C2760"/>
    <w:rPr>
      <w:b/>
    </w:rPr>
  </w:style>
  <w:style w:type="character" w:customStyle="1" w:styleId="Style1Char">
    <w:name w:val="Style1 Char"/>
    <w:basedOn w:val="DefaultParagraphFont"/>
    <w:link w:val="Style1"/>
    <w:rsid w:val="007C2760"/>
    <w:rPr>
      <w:b/>
      <w:sz w:val="28"/>
      <w:szCs w:val="28"/>
    </w:rPr>
  </w:style>
  <w:style w:type="paragraph" w:customStyle="1" w:styleId="Style3">
    <w:name w:val="Style3"/>
    <w:basedOn w:val="Normal"/>
    <w:link w:val="Style3Char"/>
    <w:qFormat/>
    <w:rsid w:val="007C2760"/>
    <w:rPr>
      <w:i/>
    </w:rPr>
  </w:style>
  <w:style w:type="character" w:customStyle="1" w:styleId="Style2Char">
    <w:name w:val="Style2 Char"/>
    <w:basedOn w:val="DefaultParagraphFont"/>
    <w:link w:val="Style2"/>
    <w:rsid w:val="007C2760"/>
    <w:rPr>
      <w:b/>
    </w:rPr>
  </w:style>
  <w:style w:type="character" w:customStyle="1" w:styleId="Style3Char">
    <w:name w:val="Style3 Char"/>
    <w:basedOn w:val="DefaultParagraphFont"/>
    <w:link w:val="Style3"/>
    <w:rsid w:val="007C2760"/>
    <w:rPr>
      <w:i/>
    </w:rPr>
  </w:style>
  <w:style w:type="table" w:styleId="TableGrid">
    <w:name w:val="Table Grid"/>
    <w:basedOn w:val="TableNormal"/>
    <w:uiPriority w:val="59"/>
    <w:rsid w:val="00DC6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D78"/>
    <w:pPr>
      <w:ind w:left="720"/>
      <w:contextualSpacing/>
    </w:pPr>
  </w:style>
  <w:style w:type="character" w:styleId="Hyperlink">
    <w:name w:val="Hyperlink"/>
    <w:basedOn w:val="DefaultParagraphFont"/>
    <w:uiPriority w:val="99"/>
    <w:unhideWhenUsed/>
    <w:rsid w:val="007900F5"/>
    <w:rPr>
      <w:color w:val="0000FF" w:themeColor="hyperlink"/>
      <w:u w:val="single"/>
    </w:rPr>
  </w:style>
  <w:style w:type="character" w:styleId="CommentReference">
    <w:name w:val="annotation reference"/>
    <w:basedOn w:val="DefaultParagraphFont"/>
    <w:uiPriority w:val="99"/>
    <w:semiHidden/>
    <w:unhideWhenUsed/>
    <w:rsid w:val="00386DD3"/>
    <w:rPr>
      <w:sz w:val="16"/>
      <w:szCs w:val="16"/>
    </w:rPr>
  </w:style>
  <w:style w:type="paragraph" w:styleId="CommentText">
    <w:name w:val="annotation text"/>
    <w:basedOn w:val="Normal"/>
    <w:link w:val="CommentTextChar"/>
    <w:uiPriority w:val="99"/>
    <w:semiHidden/>
    <w:unhideWhenUsed/>
    <w:rsid w:val="00386DD3"/>
    <w:pPr>
      <w:spacing w:line="240" w:lineRule="auto"/>
    </w:pPr>
    <w:rPr>
      <w:sz w:val="20"/>
      <w:szCs w:val="20"/>
    </w:rPr>
  </w:style>
  <w:style w:type="character" w:customStyle="1" w:styleId="CommentTextChar">
    <w:name w:val="Comment Text Char"/>
    <w:basedOn w:val="DefaultParagraphFont"/>
    <w:link w:val="CommentText"/>
    <w:uiPriority w:val="99"/>
    <w:semiHidden/>
    <w:rsid w:val="00386DD3"/>
    <w:rPr>
      <w:sz w:val="20"/>
      <w:szCs w:val="20"/>
    </w:rPr>
  </w:style>
  <w:style w:type="paragraph" w:styleId="CommentSubject">
    <w:name w:val="annotation subject"/>
    <w:basedOn w:val="CommentText"/>
    <w:next w:val="CommentText"/>
    <w:link w:val="CommentSubjectChar"/>
    <w:uiPriority w:val="99"/>
    <w:semiHidden/>
    <w:unhideWhenUsed/>
    <w:rsid w:val="00386DD3"/>
    <w:rPr>
      <w:b/>
      <w:bCs/>
    </w:rPr>
  </w:style>
  <w:style w:type="character" w:customStyle="1" w:styleId="CommentSubjectChar">
    <w:name w:val="Comment Subject Char"/>
    <w:basedOn w:val="CommentTextChar"/>
    <w:link w:val="CommentSubject"/>
    <w:uiPriority w:val="99"/>
    <w:semiHidden/>
    <w:rsid w:val="00386DD3"/>
    <w:rPr>
      <w:b/>
      <w:bCs/>
      <w:sz w:val="20"/>
      <w:szCs w:val="20"/>
    </w:rPr>
  </w:style>
  <w:style w:type="paragraph" w:styleId="BalloonText">
    <w:name w:val="Balloon Text"/>
    <w:basedOn w:val="Normal"/>
    <w:link w:val="BalloonTextChar"/>
    <w:uiPriority w:val="99"/>
    <w:semiHidden/>
    <w:unhideWhenUsed/>
    <w:rsid w:val="00386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D3"/>
    <w:rPr>
      <w:rFonts w:ascii="Tahoma" w:hAnsi="Tahoma" w:cs="Tahoma"/>
      <w:sz w:val="16"/>
      <w:szCs w:val="16"/>
    </w:rPr>
  </w:style>
  <w:style w:type="character" w:styleId="FollowedHyperlink">
    <w:name w:val="FollowedHyperlink"/>
    <w:basedOn w:val="DefaultParagraphFont"/>
    <w:uiPriority w:val="99"/>
    <w:semiHidden/>
    <w:unhideWhenUsed/>
    <w:rsid w:val="00A21383"/>
    <w:rPr>
      <w:color w:val="800080" w:themeColor="followedHyperlink"/>
      <w:u w:val="single"/>
    </w:rPr>
  </w:style>
  <w:style w:type="character" w:styleId="PlaceholderText">
    <w:name w:val="Placeholder Text"/>
    <w:basedOn w:val="DefaultParagraphFont"/>
    <w:uiPriority w:val="99"/>
    <w:semiHidden/>
    <w:rsid w:val="004272DB"/>
    <w:rPr>
      <w:color w:val="808080"/>
    </w:rPr>
  </w:style>
  <w:style w:type="paragraph" w:styleId="Header">
    <w:name w:val="header"/>
    <w:basedOn w:val="Normal"/>
    <w:link w:val="HeaderChar"/>
    <w:uiPriority w:val="99"/>
    <w:unhideWhenUsed/>
    <w:rsid w:val="009C4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FA5"/>
  </w:style>
  <w:style w:type="paragraph" w:styleId="Footer">
    <w:name w:val="footer"/>
    <w:basedOn w:val="Normal"/>
    <w:link w:val="FooterChar"/>
    <w:uiPriority w:val="99"/>
    <w:unhideWhenUsed/>
    <w:rsid w:val="009C4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FA5"/>
  </w:style>
  <w:style w:type="paragraph" w:customStyle="1" w:styleId="EndNoteBibliographyTitle">
    <w:name w:val="EndNote Bibliography Title"/>
    <w:basedOn w:val="Normal"/>
    <w:link w:val="EndNoteBibliographyTitleChar"/>
    <w:rsid w:val="000602C0"/>
    <w:pPr>
      <w:spacing w:after="0"/>
      <w:jc w:val="center"/>
    </w:pPr>
    <w:rPr>
      <w:rFonts w:ascii="Calibri" w:hAnsi="Calibri"/>
      <w:noProof/>
      <w:sz w:val="28"/>
      <w:lang w:val="en-US"/>
    </w:rPr>
  </w:style>
  <w:style w:type="character" w:customStyle="1" w:styleId="EndNoteBibliographyTitleChar">
    <w:name w:val="EndNote Bibliography Title Char"/>
    <w:basedOn w:val="Style1Char"/>
    <w:link w:val="EndNoteBibliographyTitle"/>
    <w:rsid w:val="000602C0"/>
    <w:rPr>
      <w:rFonts w:ascii="Calibri" w:hAnsi="Calibri"/>
      <w:b w:val="0"/>
      <w:noProof/>
      <w:sz w:val="28"/>
      <w:szCs w:val="28"/>
      <w:lang w:val="en-US"/>
    </w:rPr>
  </w:style>
  <w:style w:type="paragraph" w:customStyle="1" w:styleId="EndNoteBibliography">
    <w:name w:val="EndNote Bibliography"/>
    <w:basedOn w:val="Normal"/>
    <w:link w:val="EndNoteBibliographyChar"/>
    <w:rsid w:val="000602C0"/>
    <w:pPr>
      <w:spacing w:line="240" w:lineRule="auto"/>
      <w:jc w:val="both"/>
    </w:pPr>
    <w:rPr>
      <w:rFonts w:ascii="Calibri" w:hAnsi="Calibri"/>
      <w:noProof/>
      <w:sz w:val="28"/>
      <w:lang w:val="en-US"/>
    </w:rPr>
  </w:style>
  <w:style w:type="character" w:customStyle="1" w:styleId="EndNoteBibliographyChar">
    <w:name w:val="EndNote Bibliography Char"/>
    <w:basedOn w:val="Style1Char"/>
    <w:link w:val="EndNoteBibliography"/>
    <w:rsid w:val="000602C0"/>
    <w:rPr>
      <w:rFonts w:ascii="Calibri" w:hAnsi="Calibri"/>
      <w:b w:val="0"/>
      <w:noProo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C2760"/>
    <w:rPr>
      <w:b/>
      <w:sz w:val="28"/>
      <w:szCs w:val="28"/>
    </w:rPr>
  </w:style>
  <w:style w:type="paragraph" w:customStyle="1" w:styleId="Style2">
    <w:name w:val="Style2"/>
    <w:basedOn w:val="Normal"/>
    <w:link w:val="Style2Char"/>
    <w:qFormat/>
    <w:rsid w:val="007C2760"/>
    <w:rPr>
      <w:b/>
    </w:rPr>
  </w:style>
  <w:style w:type="character" w:customStyle="1" w:styleId="Style1Char">
    <w:name w:val="Style1 Char"/>
    <w:basedOn w:val="DefaultParagraphFont"/>
    <w:link w:val="Style1"/>
    <w:rsid w:val="007C2760"/>
    <w:rPr>
      <w:b/>
      <w:sz w:val="28"/>
      <w:szCs w:val="28"/>
    </w:rPr>
  </w:style>
  <w:style w:type="paragraph" w:customStyle="1" w:styleId="Style3">
    <w:name w:val="Style3"/>
    <w:basedOn w:val="Normal"/>
    <w:link w:val="Style3Char"/>
    <w:qFormat/>
    <w:rsid w:val="007C2760"/>
    <w:rPr>
      <w:i/>
    </w:rPr>
  </w:style>
  <w:style w:type="character" w:customStyle="1" w:styleId="Style2Char">
    <w:name w:val="Style2 Char"/>
    <w:basedOn w:val="DefaultParagraphFont"/>
    <w:link w:val="Style2"/>
    <w:rsid w:val="007C2760"/>
    <w:rPr>
      <w:b/>
    </w:rPr>
  </w:style>
  <w:style w:type="character" w:customStyle="1" w:styleId="Style3Char">
    <w:name w:val="Style3 Char"/>
    <w:basedOn w:val="DefaultParagraphFont"/>
    <w:link w:val="Style3"/>
    <w:rsid w:val="007C2760"/>
    <w:rPr>
      <w:i/>
    </w:rPr>
  </w:style>
  <w:style w:type="table" w:styleId="TableGrid">
    <w:name w:val="Table Grid"/>
    <w:basedOn w:val="TableNormal"/>
    <w:uiPriority w:val="59"/>
    <w:rsid w:val="00DC6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D78"/>
    <w:pPr>
      <w:ind w:left="720"/>
      <w:contextualSpacing/>
    </w:pPr>
  </w:style>
  <w:style w:type="character" w:styleId="Hyperlink">
    <w:name w:val="Hyperlink"/>
    <w:basedOn w:val="DefaultParagraphFont"/>
    <w:uiPriority w:val="99"/>
    <w:unhideWhenUsed/>
    <w:rsid w:val="007900F5"/>
    <w:rPr>
      <w:color w:val="0000FF" w:themeColor="hyperlink"/>
      <w:u w:val="single"/>
    </w:rPr>
  </w:style>
  <w:style w:type="character" w:styleId="CommentReference">
    <w:name w:val="annotation reference"/>
    <w:basedOn w:val="DefaultParagraphFont"/>
    <w:uiPriority w:val="99"/>
    <w:semiHidden/>
    <w:unhideWhenUsed/>
    <w:rsid w:val="00386DD3"/>
    <w:rPr>
      <w:sz w:val="16"/>
      <w:szCs w:val="16"/>
    </w:rPr>
  </w:style>
  <w:style w:type="paragraph" w:styleId="CommentText">
    <w:name w:val="annotation text"/>
    <w:basedOn w:val="Normal"/>
    <w:link w:val="CommentTextChar"/>
    <w:uiPriority w:val="99"/>
    <w:semiHidden/>
    <w:unhideWhenUsed/>
    <w:rsid w:val="00386DD3"/>
    <w:pPr>
      <w:spacing w:line="240" w:lineRule="auto"/>
    </w:pPr>
    <w:rPr>
      <w:sz w:val="20"/>
      <w:szCs w:val="20"/>
    </w:rPr>
  </w:style>
  <w:style w:type="character" w:customStyle="1" w:styleId="CommentTextChar">
    <w:name w:val="Comment Text Char"/>
    <w:basedOn w:val="DefaultParagraphFont"/>
    <w:link w:val="CommentText"/>
    <w:uiPriority w:val="99"/>
    <w:semiHidden/>
    <w:rsid w:val="00386DD3"/>
    <w:rPr>
      <w:sz w:val="20"/>
      <w:szCs w:val="20"/>
    </w:rPr>
  </w:style>
  <w:style w:type="paragraph" w:styleId="CommentSubject">
    <w:name w:val="annotation subject"/>
    <w:basedOn w:val="CommentText"/>
    <w:next w:val="CommentText"/>
    <w:link w:val="CommentSubjectChar"/>
    <w:uiPriority w:val="99"/>
    <w:semiHidden/>
    <w:unhideWhenUsed/>
    <w:rsid w:val="00386DD3"/>
    <w:rPr>
      <w:b/>
      <w:bCs/>
    </w:rPr>
  </w:style>
  <w:style w:type="character" w:customStyle="1" w:styleId="CommentSubjectChar">
    <w:name w:val="Comment Subject Char"/>
    <w:basedOn w:val="CommentTextChar"/>
    <w:link w:val="CommentSubject"/>
    <w:uiPriority w:val="99"/>
    <w:semiHidden/>
    <w:rsid w:val="00386DD3"/>
    <w:rPr>
      <w:b/>
      <w:bCs/>
      <w:sz w:val="20"/>
      <w:szCs w:val="20"/>
    </w:rPr>
  </w:style>
  <w:style w:type="paragraph" w:styleId="BalloonText">
    <w:name w:val="Balloon Text"/>
    <w:basedOn w:val="Normal"/>
    <w:link w:val="BalloonTextChar"/>
    <w:uiPriority w:val="99"/>
    <w:semiHidden/>
    <w:unhideWhenUsed/>
    <w:rsid w:val="00386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D3"/>
    <w:rPr>
      <w:rFonts w:ascii="Tahoma" w:hAnsi="Tahoma" w:cs="Tahoma"/>
      <w:sz w:val="16"/>
      <w:szCs w:val="16"/>
    </w:rPr>
  </w:style>
  <w:style w:type="character" w:styleId="FollowedHyperlink">
    <w:name w:val="FollowedHyperlink"/>
    <w:basedOn w:val="DefaultParagraphFont"/>
    <w:uiPriority w:val="99"/>
    <w:semiHidden/>
    <w:unhideWhenUsed/>
    <w:rsid w:val="00A21383"/>
    <w:rPr>
      <w:color w:val="800080" w:themeColor="followedHyperlink"/>
      <w:u w:val="single"/>
    </w:rPr>
  </w:style>
  <w:style w:type="character" w:styleId="PlaceholderText">
    <w:name w:val="Placeholder Text"/>
    <w:basedOn w:val="DefaultParagraphFont"/>
    <w:uiPriority w:val="99"/>
    <w:semiHidden/>
    <w:rsid w:val="004272DB"/>
    <w:rPr>
      <w:color w:val="808080"/>
    </w:rPr>
  </w:style>
  <w:style w:type="paragraph" w:styleId="Header">
    <w:name w:val="header"/>
    <w:basedOn w:val="Normal"/>
    <w:link w:val="HeaderChar"/>
    <w:uiPriority w:val="99"/>
    <w:unhideWhenUsed/>
    <w:rsid w:val="009C4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FA5"/>
  </w:style>
  <w:style w:type="paragraph" w:styleId="Footer">
    <w:name w:val="footer"/>
    <w:basedOn w:val="Normal"/>
    <w:link w:val="FooterChar"/>
    <w:uiPriority w:val="99"/>
    <w:unhideWhenUsed/>
    <w:rsid w:val="009C4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FA5"/>
  </w:style>
  <w:style w:type="paragraph" w:customStyle="1" w:styleId="EndNoteBibliographyTitle">
    <w:name w:val="EndNote Bibliography Title"/>
    <w:basedOn w:val="Normal"/>
    <w:link w:val="EndNoteBibliographyTitleChar"/>
    <w:rsid w:val="000602C0"/>
    <w:pPr>
      <w:spacing w:after="0"/>
      <w:jc w:val="center"/>
    </w:pPr>
    <w:rPr>
      <w:rFonts w:ascii="Calibri" w:hAnsi="Calibri"/>
      <w:noProof/>
      <w:sz w:val="28"/>
      <w:lang w:val="en-US"/>
    </w:rPr>
  </w:style>
  <w:style w:type="character" w:customStyle="1" w:styleId="EndNoteBibliographyTitleChar">
    <w:name w:val="EndNote Bibliography Title Char"/>
    <w:basedOn w:val="Style1Char"/>
    <w:link w:val="EndNoteBibliographyTitle"/>
    <w:rsid w:val="000602C0"/>
    <w:rPr>
      <w:rFonts w:ascii="Calibri" w:hAnsi="Calibri"/>
      <w:b w:val="0"/>
      <w:noProof/>
      <w:sz w:val="28"/>
      <w:szCs w:val="28"/>
      <w:lang w:val="en-US"/>
    </w:rPr>
  </w:style>
  <w:style w:type="paragraph" w:customStyle="1" w:styleId="EndNoteBibliography">
    <w:name w:val="EndNote Bibliography"/>
    <w:basedOn w:val="Normal"/>
    <w:link w:val="EndNoteBibliographyChar"/>
    <w:rsid w:val="000602C0"/>
    <w:pPr>
      <w:spacing w:line="240" w:lineRule="auto"/>
      <w:jc w:val="both"/>
    </w:pPr>
    <w:rPr>
      <w:rFonts w:ascii="Calibri" w:hAnsi="Calibri"/>
      <w:noProof/>
      <w:sz w:val="28"/>
      <w:lang w:val="en-US"/>
    </w:rPr>
  </w:style>
  <w:style w:type="character" w:customStyle="1" w:styleId="EndNoteBibliographyChar">
    <w:name w:val="EndNote Bibliography Char"/>
    <w:basedOn w:val="Style1Char"/>
    <w:link w:val="EndNoteBibliography"/>
    <w:rsid w:val="000602C0"/>
    <w:rPr>
      <w:rFonts w:ascii="Calibri" w:hAnsi="Calibri"/>
      <w:b w:val="0"/>
      <w:noProo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076">
      <w:bodyDiv w:val="1"/>
      <w:marLeft w:val="0"/>
      <w:marRight w:val="0"/>
      <w:marTop w:val="0"/>
      <w:marBottom w:val="0"/>
      <w:divBdr>
        <w:top w:val="none" w:sz="0" w:space="0" w:color="auto"/>
        <w:left w:val="none" w:sz="0" w:space="0" w:color="auto"/>
        <w:bottom w:val="none" w:sz="0" w:space="0" w:color="auto"/>
        <w:right w:val="none" w:sz="0" w:space="0" w:color="auto"/>
      </w:divBdr>
    </w:div>
    <w:div w:id="28379814">
      <w:bodyDiv w:val="1"/>
      <w:marLeft w:val="0"/>
      <w:marRight w:val="0"/>
      <w:marTop w:val="0"/>
      <w:marBottom w:val="0"/>
      <w:divBdr>
        <w:top w:val="none" w:sz="0" w:space="0" w:color="auto"/>
        <w:left w:val="none" w:sz="0" w:space="0" w:color="auto"/>
        <w:bottom w:val="none" w:sz="0" w:space="0" w:color="auto"/>
        <w:right w:val="none" w:sz="0" w:space="0" w:color="auto"/>
      </w:divBdr>
    </w:div>
    <w:div w:id="47918760">
      <w:bodyDiv w:val="1"/>
      <w:marLeft w:val="0"/>
      <w:marRight w:val="0"/>
      <w:marTop w:val="0"/>
      <w:marBottom w:val="0"/>
      <w:divBdr>
        <w:top w:val="none" w:sz="0" w:space="0" w:color="auto"/>
        <w:left w:val="none" w:sz="0" w:space="0" w:color="auto"/>
        <w:bottom w:val="none" w:sz="0" w:space="0" w:color="auto"/>
        <w:right w:val="none" w:sz="0" w:space="0" w:color="auto"/>
      </w:divBdr>
    </w:div>
    <w:div w:id="118913522">
      <w:bodyDiv w:val="1"/>
      <w:marLeft w:val="0"/>
      <w:marRight w:val="0"/>
      <w:marTop w:val="0"/>
      <w:marBottom w:val="0"/>
      <w:divBdr>
        <w:top w:val="none" w:sz="0" w:space="0" w:color="auto"/>
        <w:left w:val="none" w:sz="0" w:space="0" w:color="auto"/>
        <w:bottom w:val="none" w:sz="0" w:space="0" w:color="auto"/>
        <w:right w:val="none" w:sz="0" w:space="0" w:color="auto"/>
      </w:divBdr>
    </w:div>
    <w:div w:id="160701607">
      <w:bodyDiv w:val="1"/>
      <w:marLeft w:val="0"/>
      <w:marRight w:val="0"/>
      <w:marTop w:val="0"/>
      <w:marBottom w:val="0"/>
      <w:divBdr>
        <w:top w:val="none" w:sz="0" w:space="0" w:color="auto"/>
        <w:left w:val="none" w:sz="0" w:space="0" w:color="auto"/>
        <w:bottom w:val="none" w:sz="0" w:space="0" w:color="auto"/>
        <w:right w:val="none" w:sz="0" w:space="0" w:color="auto"/>
      </w:divBdr>
    </w:div>
    <w:div w:id="167140724">
      <w:bodyDiv w:val="1"/>
      <w:marLeft w:val="0"/>
      <w:marRight w:val="0"/>
      <w:marTop w:val="0"/>
      <w:marBottom w:val="0"/>
      <w:divBdr>
        <w:top w:val="none" w:sz="0" w:space="0" w:color="auto"/>
        <w:left w:val="none" w:sz="0" w:space="0" w:color="auto"/>
        <w:bottom w:val="none" w:sz="0" w:space="0" w:color="auto"/>
        <w:right w:val="none" w:sz="0" w:space="0" w:color="auto"/>
      </w:divBdr>
    </w:div>
    <w:div w:id="202987177">
      <w:bodyDiv w:val="1"/>
      <w:marLeft w:val="0"/>
      <w:marRight w:val="0"/>
      <w:marTop w:val="0"/>
      <w:marBottom w:val="0"/>
      <w:divBdr>
        <w:top w:val="none" w:sz="0" w:space="0" w:color="auto"/>
        <w:left w:val="none" w:sz="0" w:space="0" w:color="auto"/>
        <w:bottom w:val="none" w:sz="0" w:space="0" w:color="auto"/>
        <w:right w:val="none" w:sz="0" w:space="0" w:color="auto"/>
      </w:divBdr>
    </w:div>
    <w:div w:id="244608981">
      <w:bodyDiv w:val="1"/>
      <w:marLeft w:val="0"/>
      <w:marRight w:val="0"/>
      <w:marTop w:val="0"/>
      <w:marBottom w:val="0"/>
      <w:divBdr>
        <w:top w:val="none" w:sz="0" w:space="0" w:color="auto"/>
        <w:left w:val="none" w:sz="0" w:space="0" w:color="auto"/>
        <w:bottom w:val="none" w:sz="0" w:space="0" w:color="auto"/>
        <w:right w:val="none" w:sz="0" w:space="0" w:color="auto"/>
      </w:divBdr>
    </w:div>
    <w:div w:id="260915118">
      <w:bodyDiv w:val="1"/>
      <w:marLeft w:val="0"/>
      <w:marRight w:val="0"/>
      <w:marTop w:val="0"/>
      <w:marBottom w:val="0"/>
      <w:divBdr>
        <w:top w:val="none" w:sz="0" w:space="0" w:color="auto"/>
        <w:left w:val="none" w:sz="0" w:space="0" w:color="auto"/>
        <w:bottom w:val="none" w:sz="0" w:space="0" w:color="auto"/>
        <w:right w:val="none" w:sz="0" w:space="0" w:color="auto"/>
      </w:divBdr>
    </w:div>
    <w:div w:id="275255312">
      <w:bodyDiv w:val="1"/>
      <w:marLeft w:val="0"/>
      <w:marRight w:val="0"/>
      <w:marTop w:val="0"/>
      <w:marBottom w:val="0"/>
      <w:divBdr>
        <w:top w:val="none" w:sz="0" w:space="0" w:color="auto"/>
        <w:left w:val="none" w:sz="0" w:space="0" w:color="auto"/>
        <w:bottom w:val="none" w:sz="0" w:space="0" w:color="auto"/>
        <w:right w:val="none" w:sz="0" w:space="0" w:color="auto"/>
      </w:divBdr>
    </w:div>
    <w:div w:id="279924635">
      <w:bodyDiv w:val="1"/>
      <w:marLeft w:val="0"/>
      <w:marRight w:val="0"/>
      <w:marTop w:val="0"/>
      <w:marBottom w:val="0"/>
      <w:divBdr>
        <w:top w:val="none" w:sz="0" w:space="0" w:color="auto"/>
        <w:left w:val="none" w:sz="0" w:space="0" w:color="auto"/>
        <w:bottom w:val="none" w:sz="0" w:space="0" w:color="auto"/>
        <w:right w:val="none" w:sz="0" w:space="0" w:color="auto"/>
      </w:divBdr>
    </w:div>
    <w:div w:id="286812321">
      <w:bodyDiv w:val="1"/>
      <w:marLeft w:val="0"/>
      <w:marRight w:val="0"/>
      <w:marTop w:val="0"/>
      <w:marBottom w:val="0"/>
      <w:divBdr>
        <w:top w:val="none" w:sz="0" w:space="0" w:color="auto"/>
        <w:left w:val="none" w:sz="0" w:space="0" w:color="auto"/>
        <w:bottom w:val="none" w:sz="0" w:space="0" w:color="auto"/>
        <w:right w:val="none" w:sz="0" w:space="0" w:color="auto"/>
      </w:divBdr>
    </w:div>
    <w:div w:id="311832392">
      <w:bodyDiv w:val="1"/>
      <w:marLeft w:val="0"/>
      <w:marRight w:val="0"/>
      <w:marTop w:val="0"/>
      <w:marBottom w:val="0"/>
      <w:divBdr>
        <w:top w:val="none" w:sz="0" w:space="0" w:color="auto"/>
        <w:left w:val="none" w:sz="0" w:space="0" w:color="auto"/>
        <w:bottom w:val="none" w:sz="0" w:space="0" w:color="auto"/>
        <w:right w:val="none" w:sz="0" w:space="0" w:color="auto"/>
      </w:divBdr>
    </w:div>
    <w:div w:id="356390034">
      <w:bodyDiv w:val="1"/>
      <w:marLeft w:val="0"/>
      <w:marRight w:val="0"/>
      <w:marTop w:val="0"/>
      <w:marBottom w:val="0"/>
      <w:divBdr>
        <w:top w:val="none" w:sz="0" w:space="0" w:color="auto"/>
        <w:left w:val="none" w:sz="0" w:space="0" w:color="auto"/>
        <w:bottom w:val="none" w:sz="0" w:space="0" w:color="auto"/>
        <w:right w:val="none" w:sz="0" w:space="0" w:color="auto"/>
      </w:divBdr>
    </w:div>
    <w:div w:id="412511312">
      <w:bodyDiv w:val="1"/>
      <w:marLeft w:val="0"/>
      <w:marRight w:val="0"/>
      <w:marTop w:val="0"/>
      <w:marBottom w:val="0"/>
      <w:divBdr>
        <w:top w:val="none" w:sz="0" w:space="0" w:color="auto"/>
        <w:left w:val="none" w:sz="0" w:space="0" w:color="auto"/>
        <w:bottom w:val="none" w:sz="0" w:space="0" w:color="auto"/>
        <w:right w:val="none" w:sz="0" w:space="0" w:color="auto"/>
      </w:divBdr>
    </w:div>
    <w:div w:id="420177218">
      <w:bodyDiv w:val="1"/>
      <w:marLeft w:val="0"/>
      <w:marRight w:val="0"/>
      <w:marTop w:val="0"/>
      <w:marBottom w:val="0"/>
      <w:divBdr>
        <w:top w:val="none" w:sz="0" w:space="0" w:color="auto"/>
        <w:left w:val="none" w:sz="0" w:space="0" w:color="auto"/>
        <w:bottom w:val="none" w:sz="0" w:space="0" w:color="auto"/>
        <w:right w:val="none" w:sz="0" w:space="0" w:color="auto"/>
      </w:divBdr>
    </w:div>
    <w:div w:id="424114935">
      <w:bodyDiv w:val="1"/>
      <w:marLeft w:val="0"/>
      <w:marRight w:val="0"/>
      <w:marTop w:val="0"/>
      <w:marBottom w:val="0"/>
      <w:divBdr>
        <w:top w:val="none" w:sz="0" w:space="0" w:color="auto"/>
        <w:left w:val="none" w:sz="0" w:space="0" w:color="auto"/>
        <w:bottom w:val="none" w:sz="0" w:space="0" w:color="auto"/>
        <w:right w:val="none" w:sz="0" w:space="0" w:color="auto"/>
      </w:divBdr>
    </w:div>
    <w:div w:id="425542676">
      <w:bodyDiv w:val="1"/>
      <w:marLeft w:val="0"/>
      <w:marRight w:val="0"/>
      <w:marTop w:val="0"/>
      <w:marBottom w:val="0"/>
      <w:divBdr>
        <w:top w:val="none" w:sz="0" w:space="0" w:color="auto"/>
        <w:left w:val="none" w:sz="0" w:space="0" w:color="auto"/>
        <w:bottom w:val="none" w:sz="0" w:space="0" w:color="auto"/>
        <w:right w:val="none" w:sz="0" w:space="0" w:color="auto"/>
      </w:divBdr>
    </w:div>
    <w:div w:id="430781716">
      <w:bodyDiv w:val="1"/>
      <w:marLeft w:val="0"/>
      <w:marRight w:val="0"/>
      <w:marTop w:val="0"/>
      <w:marBottom w:val="0"/>
      <w:divBdr>
        <w:top w:val="none" w:sz="0" w:space="0" w:color="auto"/>
        <w:left w:val="none" w:sz="0" w:space="0" w:color="auto"/>
        <w:bottom w:val="none" w:sz="0" w:space="0" w:color="auto"/>
        <w:right w:val="none" w:sz="0" w:space="0" w:color="auto"/>
      </w:divBdr>
    </w:div>
    <w:div w:id="447966234">
      <w:bodyDiv w:val="1"/>
      <w:marLeft w:val="0"/>
      <w:marRight w:val="0"/>
      <w:marTop w:val="0"/>
      <w:marBottom w:val="0"/>
      <w:divBdr>
        <w:top w:val="none" w:sz="0" w:space="0" w:color="auto"/>
        <w:left w:val="none" w:sz="0" w:space="0" w:color="auto"/>
        <w:bottom w:val="none" w:sz="0" w:space="0" w:color="auto"/>
        <w:right w:val="none" w:sz="0" w:space="0" w:color="auto"/>
      </w:divBdr>
    </w:div>
    <w:div w:id="472872944">
      <w:bodyDiv w:val="1"/>
      <w:marLeft w:val="0"/>
      <w:marRight w:val="0"/>
      <w:marTop w:val="0"/>
      <w:marBottom w:val="0"/>
      <w:divBdr>
        <w:top w:val="none" w:sz="0" w:space="0" w:color="auto"/>
        <w:left w:val="none" w:sz="0" w:space="0" w:color="auto"/>
        <w:bottom w:val="none" w:sz="0" w:space="0" w:color="auto"/>
        <w:right w:val="none" w:sz="0" w:space="0" w:color="auto"/>
      </w:divBdr>
    </w:div>
    <w:div w:id="552739958">
      <w:bodyDiv w:val="1"/>
      <w:marLeft w:val="0"/>
      <w:marRight w:val="0"/>
      <w:marTop w:val="0"/>
      <w:marBottom w:val="0"/>
      <w:divBdr>
        <w:top w:val="none" w:sz="0" w:space="0" w:color="auto"/>
        <w:left w:val="none" w:sz="0" w:space="0" w:color="auto"/>
        <w:bottom w:val="none" w:sz="0" w:space="0" w:color="auto"/>
        <w:right w:val="none" w:sz="0" w:space="0" w:color="auto"/>
      </w:divBdr>
    </w:div>
    <w:div w:id="576672911">
      <w:bodyDiv w:val="1"/>
      <w:marLeft w:val="0"/>
      <w:marRight w:val="0"/>
      <w:marTop w:val="0"/>
      <w:marBottom w:val="0"/>
      <w:divBdr>
        <w:top w:val="none" w:sz="0" w:space="0" w:color="auto"/>
        <w:left w:val="none" w:sz="0" w:space="0" w:color="auto"/>
        <w:bottom w:val="none" w:sz="0" w:space="0" w:color="auto"/>
        <w:right w:val="none" w:sz="0" w:space="0" w:color="auto"/>
      </w:divBdr>
    </w:div>
    <w:div w:id="599147437">
      <w:bodyDiv w:val="1"/>
      <w:marLeft w:val="0"/>
      <w:marRight w:val="0"/>
      <w:marTop w:val="0"/>
      <w:marBottom w:val="0"/>
      <w:divBdr>
        <w:top w:val="none" w:sz="0" w:space="0" w:color="auto"/>
        <w:left w:val="none" w:sz="0" w:space="0" w:color="auto"/>
        <w:bottom w:val="none" w:sz="0" w:space="0" w:color="auto"/>
        <w:right w:val="none" w:sz="0" w:space="0" w:color="auto"/>
      </w:divBdr>
    </w:div>
    <w:div w:id="650407124">
      <w:bodyDiv w:val="1"/>
      <w:marLeft w:val="0"/>
      <w:marRight w:val="0"/>
      <w:marTop w:val="0"/>
      <w:marBottom w:val="0"/>
      <w:divBdr>
        <w:top w:val="none" w:sz="0" w:space="0" w:color="auto"/>
        <w:left w:val="none" w:sz="0" w:space="0" w:color="auto"/>
        <w:bottom w:val="none" w:sz="0" w:space="0" w:color="auto"/>
        <w:right w:val="none" w:sz="0" w:space="0" w:color="auto"/>
      </w:divBdr>
    </w:div>
    <w:div w:id="702484755">
      <w:bodyDiv w:val="1"/>
      <w:marLeft w:val="0"/>
      <w:marRight w:val="0"/>
      <w:marTop w:val="0"/>
      <w:marBottom w:val="0"/>
      <w:divBdr>
        <w:top w:val="none" w:sz="0" w:space="0" w:color="auto"/>
        <w:left w:val="none" w:sz="0" w:space="0" w:color="auto"/>
        <w:bottom w:val="none" w:sz="0" w:space="0" w:color="auto"/>
        <w:right w:val="none" w:sz="0" w:space="0" w:color="auto"/>
      </w:divBdr>
    </w:div>
    <w:div w:id="712970954">
      <w:bodyDiv w:val="1"/>
      <w:marLeft w:val="0"/>
      <w:marRight w:val="0"/>
      <w:marTop w:val="0"/>
      <w:marBottom w:val="0"/>
      <w:divBdr>
        <w:top w:val="none" w:sz="0" w:space="0" w:color="auto"/>
        <w:left w:val="none" w:sz="0" w:space="0" w:color="auto"/>
        <w:bottom w:val="none" w:sz="0" w:space="0" w:color="auto"/>
        <w:right w:val="none" w:sz="0" w:space="0" w:color="auto"/>
      </w:divBdr>
    </w:div>
    <w:div w:id="717316633">
      <w:bodyDiv w:val="1"/>
      <w:marLeft w:val="0"/>
      <w:marRight w:val="0"/>
      <w:marTop w:val="0"/>
      <w:marBottom w:val="0"/>
      <w:divBdr>
        <w:top w:val="none" w:sz="0" w:space="0" w:color="auto"/>
        <w:left w:val="none" w:sz="0" w:space="0" w:color="auto"/>
        <w:bottom w:val="none" w:sz="0" w:space="0" w:color="auto"/>
        <w:right w:val="none" w:sz="0" w:space="0" w:color="auto"/>
      </w:divBdr>
    </w:div>
    <w:div w:id="719743711">
      <w:bodyDiv w:val="1"/>
      <w:marLeft w:val="0"/>
      <w:marRight w:val="0"/>
      <w:marTop w:val="0"/>
      <w:marBottom w:val="0"/>
      <w:divBdr>
        <w:top w:val="none" w:sz="0" w:space="0" w:color="auto"/>
        <w:left w:val="none" w:sz="0" w:space="0" w:color="auto"/>
        <w:bottom w:val="none" w:sz="0" w:space="0" w:color="auto"/>
        <w:right w:val="none" w:sz="0" w:space="0" w:color="auto"/>
      </w:divBdr>
    </w:div>
    <w:div w:id="724305082">
      <w:bodyDiv w:val="1"/>
      <w:marLeft w:val="0"/>
      <w:marRight w:val="0"/>
      <w:marTop w:val="0"/>
      <w:marBottom w:val="0"/>
      <w:divBdr>
        <w:top w:val="none" w:sz="0" w:space="0" w:color="auto"/>
        <w:left w:val="none" w:sz="0" w:space="0" w:color="auto"/>
        <w:bottom w:val="none" w:sz="0" w:space="0" w:color="auto"/>
        <w:right w:val="none" w:sz="0" w:space="0" w:color="auto"/>
      </w:divBdr>
    </w:div>
    <w:div w:id="738089351">
      <w:bodyDiv w:val="1"/>
      <w:marLeft w:val="0"/>
      <w:marRight w:val="0"/>
      <w:marTop w:val="0"/>
      <w:marBottom w:val="0"/>
      <w:divBdr>
        <w:top w:val="none" w:sz="0" w:space="0" w:color="auto"/>
        <w:left w:val="none" w:sz="0" w:space="0" w:color="auto"/>
        <w:bottom w:val="none" w:sz="0" w:space="0" w:color="auto"/>
        <w:right w:val="none" w:sz="0" w:space="0" w:color="auto"/>
      </w:divBdr>
    </w:div>
    <w:div w:id="793405593">
      <w:bodyDiv w:val="1"/>
      <w:marLeft w:val="0"/>
      <w:marRight w:val="0"/>
      <w:marTop w:val="0"/>
      <w:marBottom w:val="0"/>
      <w:divBdr>
        <w:top w:val="none" w:sz="0" w:space="0" w:color="auto"/>
        <w:left w:val="none" w:sz="0" w:space="0" w:color="auto"/>
        <w:bottom w:val="none" w:sz="0" w:space="0" w:color="auto"/>
        <w:right w:val="none" w:sz="0" w:space="0" w:color="auto"/>
      </w:divBdr>
    </w:div>
    <w:div w:id="802700239">
      <w:bodyDiv w:val="1"/>
      <w:marLeft w:val="0"/>
      <w:marRight w:val="0"/>
      <w:marTop w:val="0"/>
      <w:marBottom w:val="0"/>
      <w:divBdr>
        <w:top w:val="none" w:sz="0" w:space="0" w:color="auto"/>
        <w:left w:val="none" w:sz="0" w:space="0" w:color="auto"/>
        <w:bottom w:val="none" w:sz="0" w:space="0" w:color="auto"/>
        <w:right w:val="none" w:sz="0" w:space="0" w:color="auto"/>
      </w:divBdr>
    </w:div>
    <w:div w:id="830025933">
      <w:bodyDiv w:val="1"/>
      <w:marLeft w:val="0"/>
      <w:marRight w:val="0"/>
      <w:marTop w:val="0"/>
      <w:marBottom w:val="0"/>
      <w:divBdr>
        <w:top w:val="none" w:sz="0" w:space="0" w:color="auto"/>
        <w:left w:val="none" w:sz="0" w:space="0" w:color="auto"/>
        <w:bottom w:val="none" w:sz="0" w:space="0" w:color="auto"/>
        <w:right w:val="none" w:sz="0" w:space="0" w:color="auto"/>
      </w:divBdr>
    </w:div>
    <w:div w:id="835923765">
      <w:bodyDiv w:val="1"/>
      <w:marLeft w:val="0"/>
      <w:marRight w:val="0"/>
      <w:marTop w:val="0"/>
      <w:marBottom w:val="0"/>
      <w:divBdr>
        <w:top w:val="none" w:sz="0" w:space="0" w:color="auto"/>
        <w:left w:val="none" w:sz="0" w:space="0" w:color="auto"/>
        <w:bottom w:val="none" w:sz="0" w:space="0" w:color="auto"/>
        <w:right w:val="none" w:sz="0" w:space="0" w:color="auto"/>
      </w:divBdr>
    </w:div>
    <w:div w:id="837429123">
      <w:bodyDiv w:val="1"/>
      <w:marLeft w:val="0"/>
      <w:marRight w:val="0"/>
      <w:marTop w:val="0"/>
      <w:marBottom w:val="0"/>
      <w:divBdr>
        <w:top w:val="none" w:sz="0" w:space="0" w:color="auto"/>
        <w:left w:val="none" w:sz="0" w:space="0" w:color="auto"/>
        <w:bottom w:val="none" w:sz="0" w:space="0" w:color="auto"/>
        <w:right w:val="none" w:sz="0" w:space="0" w:color="auto"/>
      </w:divBdr>
    </w:div>
    <w:div w:id="918059789">
      <w:bodyDiv w:val="1"/>
      <w:marLeft w:val="0"/>
      <w:marRight w:val="0"/>
      <w:marTop w:val="0"/>
      <w:marBottom w:val="0"/>
      <w:divBdr>
        <w:top w:val="none" w:sz="0" w:space="0" w:color="auto"/>
        <w:left w:val="none" w:sz="0" w:space="0" w:color="auto"/>
        <w:bottom w:val="none" w:sz="0" w:space="0" w:color="auto"/>
        <w:right w:val="none" w:sz="0" w:space="0" w:color="auto"/>
      </w:divBdr>
    </w:div>
    <w:div w:id="958727795">
      <w:bodyDiv w:val="1"/>
      <w:marLeft w:val="0"/>
      <w:marRight w:val="0"/>
      <w:marTop w:val="0"/>
      <w:marBottom w:val="0"/>
      <w:divBdr>
        <w:top w:val="none" w:sz="0" w:space="0" w:color="auto"/>
        <w:left w:val="none" w:sz="0" w:space="0" w:color="auto"/>
        <w:bottom w:val="none" w:sz="0" w:space="0" w:color="auto"/>
        <w:right w:val="none" w:sz="0" w:space="0" w:color="auto"/>
      </w:divBdr>
    </w:div>
    <w:div w:id="989794937">
      <w:bodyDiv w:val="1"/>
      <w:marLeft w:val="0"/>
      <w:marRight w:val="0"/>
      <w:marTop w:val="0"/>
      <w:marBottom w:val="0"/>
      <w:divBdr>
        <w:top w:val="none" w:sz="0" w:space="0" w:color="auto"/>
        <w:left w:val="none" w:sz="0" w:space="0" w:color="auto"/>
        <w:bottom w:val="none" w:sz="0" w:space="0" w:color="auto"/>
        <w:right w:val="none" w:sz="0" w:space="0" w:color="auto"/>
      </w:divBdr>
    </w:div>
    <w:div w:id="995575489">
      <w:bodyDiv w:val="1"/>
      <w:marLeft w:val="0"/>
      <w:marRight w:val="0"/>
      <w:marTop w:val="0"/>
      <w:marBottom w:val="0"/>
      <w:divBdr>
        <w:top w:val="none" w:sz="0" w:space="0" w:color="auto"/>
        <w:left w:val="none" w:sz="0" w:space="0" w:color="auto"/>
        <w:bottom w:val="none" w:sz="0" w:space="0" w:color="auto"/>
        <w:right w:val="none" w:sz="0" w:space="0" w:color="auto"/>
      </w:divBdr>
    </w:div>
    <w:div w:id="1010180881">
      <w:bodyDiv w:val="1"/>
      <w:marLeft w:val="0"/>
      <w:marRight w:val="0"/>
      <w:marTop w:val="0"/>
      <w:marBottom w:val="0"/>
      <w:divBdr>
        <w:top w:val="none" w:sz="0" w:space="0" w:color="auto"/>
        <w:left w:val="none" w:sz="0" w:space="0" w:color="auto"/>
        <w:bottom w:val="none" w:sz="0" w:space="0" w:color="auto"/>
        <w:right w:val="none" w:sz="0" w:space="0" w:color="auto"/>
      </w:divBdr>
    </w:div>
    <w:div w:id="1019433520">
      <w:bodyDiv w:val="1"/>
      <w:marLeft w:val="0"/>
      <w:marRight w:val="0"/>
      <w:marTop w:val="0"/>
      <w:marBottom w:val="0"/>
      <w:divBdr>
        <w:top w:val="none" w:sz="0" w:space="0" w:color="auto"/>
        <w:left w:val="none" w:sz="0" w:space="0" w:color="auto"/>
        <w:bottom w:val="none" w:sz="0" w:space="0" w:color="auto"/>
        <w:right w:val="none" w:sz="0" w:space="0" w:color="auto"/>
      </w:divBdr>
    </w:div>
    <w:div w:id="1080059948">
      <w:bodyDiv w:val="1"/>
      <w:marLeft w:val="0"/>
      <w:marRight w:val="0"/>
      <w:marTop w:val="0"/>
      <w:marBottom w:val="0"/>
      <w:divBdr>
        <w:top w:val="none" w:sz="0" w:space="0" w:color="auto"/>
        <w:left w:val="none" w:sz="0" w:space="0" w:color="auto"/>
        <w:bottom w:val="none" w:sz="0" w:space="0" w:color="auto"/>
        <w:right w:val="none" w:sz="0" w:space="0" w:color="auto"/>
      </w:divBdr>
    </w:div>
    <w:div w:id="1089891416">
      <w:bodyDiv w:val="1"/>
      <w:marLeft w:val="0"/>
      <w:marRight w:val="0"/>
      <w:marTop w:val="0"/>
      <w:marBottom w:val="0"/>
      <w:divBdr>
        <w:top w:val="none" w:sz="0" w:space="0" w:color="auto"/>
        <w:left w:val="none" w:sz="0" w:space="0" w:color="auto"/>
        <w:bottom w:val="none" w:sz="0" w:space="0" w:color="auto"/>
        <w:right w:val="none" w:sz="0" w:space="0" w:color="auto"/>
      </w:divBdr>
    </w:div>
    <w:div w:id="1094782114">
      <w:bodyDiv w:val="1"/>
      <w:marLeft w:val="0"/>
      <w:marRight w:val="0"/>
      <w:marTop w:val="0"/>
      <w:marBottom w:val="0"/>
      <w:divBdr>
        <w:top w:val="none" w:sz="0" w:space="0" w:color="auto"/>
        <w:left w:val="none" w:sz="0" w:space="0" w:color="auto"/>
        <w:bottom w:val="none" w:sz="0" w:space="0" w:color="auto"/>
        <w:right w:val="none" w:sz="0" w:space="0" w:color="auto"/>
      </w:divBdr>
    </w:div>
    <w:div w:id="1124154097">
      <w:bodyDiv w:val="1"/>
      <w:marLeft w:val="0"/>
      <w:marRight w:val="0"/>
      <w:marTop w:val="0"/>
      <w:marBottom w:val="0"/>
      <w:divBdr>
        <w:top w:val="none" w:sz="0" w:space="0" w:color="auto"/>
        <w:left w:val="none" w:sz="0" w:space="0" w:color="auto"/>
        <w:bottom w:val="none" w:sz="0" w:space="0" w:color="auto"/>
        <w:right w:val="none" w:sz="0" w:space="0" w:color="auto"/>
      </w:divBdr>
    </w:div>
    <w:div w:id="1211957412">
      <w:bodyDiv w:val="1"/>
      <w:marLeft w:val="0"/>
      <w:marRight w:val="0"/>
      <w:marTop w:val="0"/>
      <w:marBottom w:val="0"/>
      <w:divBdr>
        <w:top w:val="none" w:sz="0" w:space="0" w:color="auto"/>
        <w:left w:val="none" w:sz="0" w:space="0" w:color="auto"/>
        <w:bottom w:val="none" w:sz="0" w:space="0" w:color="auto"/>
        <w:right w:val="none" w:sz="0" w:space="0" w:color="auto"/>
      </w:divBdr>
    </w:div>
    <w:div w:id="1226450725">
      <w:bodyDiv w:val="1"/>
      <w:marLeft w:val="0"/>
      <w:marRight w:val="0"/>
      <w:marTop w:val="0"/>
      <w:marBottom w:val="0"/>
      <w:divBdr>
        <w:top w:val="none" w:sz="0" w:space="0" w:color="auto"/>
        <w:left w:val="none" w:sz="0" w:space="0" w:color="auto"/>
        <w:bottom w:val="none" w:sz="0" w:space="0" w:color="auto"/>
        <w:right w:val="none" w:sz="0" w:space="0" w:color="auto"/>
      </w:divBdr>
    </w:div>
    <w:div w:id="1307397924">
      <w:bodyDiv w:val="1"/>
      <w:marLeft w:val="0"/>
      <w:marRight w:val="0"/>
      <w:marTop w:val="0"/>
      <w:marBottom w:val="0"/>
      <w:divBdr>
        <w:top w:val="none" w:sz="0" w:space="0" w:color="auto"/>
        <w:left w:val="none" w:sz="0" w:space="0" w:color="auto"/>
        <w:bottom w:val="none" w:sz="0" w:space="0" w:color="auto"/>
        <w:right w:val="none" w:sz="0" w:space="0" w:color="auto"/>
      </w:divBdr>
    </w:div>
    <w:div w:id="1364751635">
      <w:bodyDiv w:val="1"/>
      <w:marLeft w:val="0"/>
      <w:marRight w:val="0"/>
      <w:marTop w:val="0"/>
      <w:marBottom w:val="0"/>
      <w:divBdr>
        <w:top w:val="none" w:sz="0" w:space="0" w:color="auto"/>
        <w:left w:val="none" w:sz="0" w:space="0" w:color="auto"/>
        <w:bottom w:val="none" w:sz="0" w:space="0" w:color="auto"/>
        <w:right w:val="none" w:sz="0" w:space="0" w:color="auto"/>
      </w:divBdr>
    </w:div>
    <w:div w:id="1416316523">
      <w:bodyDiv w:val="1"/>
      <w:marLeft w:val="0"/>
      <w:marRight w:val="0"/>
      <w:marTop w:val="0"/>
      <w:marBottom w:val="0"/>
      <w:divBdr>
        <w:top w:val="none" w:sz="0" w:space="0" w:color="auto"/>
        <w:left w:val="none" w:sz="0" w:space="0" w:color="auto"/>
        <w:bottom w:val="none" w:sz="0" w:space="0" w:color="auto"/>
        <w:right w:val="none" w:sz="0" w:space="0" w:color="auto"/>
      </w:divBdr>
    </w:div>
    <w:div w:id="1426225904">
      <w:bodyDiv w:val="1"/>
      <w:marLeft w:val="0"/>
      <w:marRight w:val="0"/>
      <w:marTop w:val="0"/>
      <w:marBottom w:val="0"/>
      <w:divBdr>
        <w:top w:val="none" w:sz="0" w:space="0" w:color="auto"/>
        <w:left w:val="none" w:sz="0" w:space="0" w:color="auto"/>
        <w:bottom w:val="none" w:sz="0" w:space="0" w:color="auto"/>
        <w:right w:val="none" w:sz="0" w:space="0" w:color="auto"/>
      </w:divBdr>
    </w:div>
    <w:div w:id="1435708271">
      <w:bodyDiv w:val="1"/>
      <w:marLeft w:val="0"/>
      <w:marRight w:val="0"/>
      <w:marTop w:val="0"/>
      <w:marBottom w:val="0"/>
      <w:divBdr>
        <w:top w:val="none" w:sz="0" w:space="0" w:color="auto"/>
        <w:left w:val="none" w:sz="0" w:space="0" w:color="auto"/>
        <w:bottom w:val="none" w:sz="0" w:space="0" w:color="auto"/>
        <w:right w:val="none" w:sz="0" w:space="0" w:color="auto"/>
      </w:divBdr>
    </w:div>
    <w:div w:id="1438019984">
      <w:bodyDiv w:val="1"/>
      <w:marLeft w:val="0"/>
      <w:marRight w:val="0"/>
      <w:marTop w:val="0"/>
      <w:marBottom w:val="0"/>
      <w:divBdr>
        <w:top w:val="none" w:sz="0" w:space="0" w:color="auto"/>
        <w:left w:val="none" w:sz="0" w:space="0" w:color="auto"/>
        <w:bottom w:val="none" w:sz="0" w:space="0" w:color="auto"/>
        <w:right w:val="none" w:sz="0" w:space="0" w:color="auto"/>
      </w:divBdr>
    </w:div>
    <w:div w:id="1455364770">
      <w:bodyDiv w:val="1"/>
      <w:marLeft w:val="0"/>
      <w:marRight w:val="0"/>
      <w:marTop w:val="0"/>
      <w:marBottom w:val="0"/>
      <w:divBdr>
        <w:top w:val="none" w:sz="0" w:space="0" w:color="auto"/>
        <w:left w:val="none" w:sz="0" w:space="0" w:color="auto"/>
        <w:bottom w:val="none" w:sz="0" w:space="0" w:color="auto"/>
        <w:right w:val="none" w:sz="0" w:space="0" w:color="auto"/>
      </w:divBdr>
    </w:div>
    <w:div w:id="1458648511">
      <w:bodyDiv w:val="1"/>
      <w:marLeft w:val="0"/>
      <w:marRight w:val="0"/>
      <w:marTop w:val="0"/>
      <w:marBottom w:val="0"/>
      <w:divBdr>
        <w:top w:val="none" w:sz="0" w:space="0" w:color="auto"/>
        <w:left w:val="none" w:sz="0" w:space="0" w:color="auto"/>
        <w:bottom w:val="none" w:sz="0" w:space="0" w:color="auto"/>
        <w:right w:val="none" w:sz="0" w:space="0" w:color="auto"/>
      </w:divBdr>
    </w:div>
    <w:div w:id="1466655776">
      <w:bodyDiv w:val="1"/>
      <w:marLeft w:val="0"/>
      <w:marRight w:val="0"/>
      <w:marTop w:val="0"/>
      <w:marBottom w:val="0"/>
      <w:divBdr>
        <w:top w:val="none" w:sz="0" w:space="0" w:color="auto"/>
        <w:left w:val="none" w:sz="0" w:space="0" w:color="auto"/>
        <w:bottom w:val="none" w:sz="0" w:space="0" w:color="auto"/>
        <w:right w:val="none" w:sz="0" w:space="0" w:color="auto"/>
      </w:divBdr>
    </w:div>
    <w:div w:id="1505318345">
      <w:bodyDiv w:val="1"/>
      <w:marLeft w:val="0"/>
      <w:marRight w:val="0"/>
      <w:marTop w:val="0"/>
      <w:marBottom w:val="0"/>
      <w:divBdr>
        <w:top w:val="none" w:sz="0" w:space="0" w:color="auto"/>
        <w:left w:val="none" w:sz="0" w:space="0" w:color="auto"/>
        <w:bottom w:val="none" w:sz="0" w:space="0" w:color="auto"/>
        <w:right w:val="none" w:sz="0" w:space="0" w:color="auto"/>
      </w:divBdr>
    </w:div>
    <w:div w:id="1510556933">
      <w:bodyDiv w:val="1"/>
      <w:marLeft w:val="0"/>
      <w:marRight w:val="0"/>
      <w:marTop w:val="0"/>
      <w:marBottom w:val="0"/>
      <w:divBdr>
        <w:top w:val="none" w:sz="0" w:space="0" w:color="auto"/>
        <w:left w:val="none" w:sz="0" w:space="0" w:color="auto"/>
        <w:bottom w:val="none" w:sz="0" w:space="0" w:color="auto"/>
        <w:right w:val="none" w:sz="0" w:space="0" w:color="auto"/>
      </w:divBdr>
    </w:div>
    <w:div w:id="1534806402">
      <w:bodyDiv w:val="1"/>
      <w:marLeft w:val="0"/>
      <w:marRight w:val="0"/>
      <w:marTop w:val="0"/>
      <w:marBottom w:val="0"/>
      <w:divBdr>
        <w:top w:val="none" w:sz="0" w:space="0" w:color="auto"/>
        <w:left w:val="none" w:sz="0" w:space="0" w:color="auto"/>
        <w:bottom w:val="none" w:sz="0" w:space="0" w:color="auto"/>
        <w:right w:val="none" w:sz="0" w:space="0" w:color="auto"/>
      </w:divBdr>
    </w:div>
    <w:div w:id="1537816383">
      <w:bodyDiv w:val="1"/>
      <w:marLeft w:val="0"/>
      <w:marRight w:val="0"/>
      <w:marTop w:val="0"/>
      <w:marBottom w:val="0"/>
      <w:divBdr>
        <w:top w:val="none" w:sz="0" w:space="0" w:color="auto"/>
        <w:left w:val="none" w:sz="0" w:space="0" w:color="auto"/>
        <w:bottom w:val="none" w:sz="0" w:space="0" w:color="auto"/>
        <w:right w:val="none" w:sz="0" w:space="0" w:color="auto"/>
      </w:divBdr>
    </w:div>
    <w:div w:id="1537961577">
      <w:bodyDiv w:val="1"/>
      <w:marLeft w:val="0"/>
      <w:marRight w:val="0"/>
      <w:marTop w:val="0"/>
      <w:marBottom w:val="0"/>
      <w:divBdr>
        <w:top w:val="none" w:sz="0" w:space="0" w:color="auto"/>
        <w:left w:val="none" w:sz="0" w:space="0" w:color="auto"/>
        <w:bottom w:val="none" w:sz="0" w:space="0" w:color="auto"/>
        <w:right w:val="none" w:sz="0" w:space="0" w:color="auto"/>
      </w:divBdr>
    </w:div>
    <w:div w:id="1574193774">
      <w:bodyDiv w:val="1"/>
      <w:marLeft w:val="0"/>
      <w:marRight w:val="0"/>
      <w:marTop w:val="0"/>
      <w:marBottom w:val="0"/>
      <w:divBdr>
        <w:top w:val="none" w:sz="0" w:space="0" w:color="auto"/>
        <w:left w:val="none" w:sz="0" w:space="0" w:color="auto"/>
        <w:bottom w:val="none" w:sz="0" w:space="0" w:color="auto"/>
        <w:right w:val="none" w:sz="0" w:space="0" w:color="auto"/>
      </w:divBdr>
    </w:div>
    <w:div w:id="1592734621">
      <w:bodyDiv w:val="1"/>
      <w:marLeft w:val="0"/>
      <w:marRight w:val="0"/>
      <w:marTop w:val="0"/>
      <w:marBottom w:val="0"/>
      <w:divBdr>
        <w:top w:val="none" w:sz="0" w:space="0" w:color="auto"/>
        <w:left w:val="none" w:sz="0" w:space="0" w:color="auto"/>
        <w:bottom w:val="none" w:sz="0" w:space="0" w:color="auto"/>
        <w:right w:val="none" w:sz="0" w:space="0" w:color="auto"/>
      </w:divBdr>
    </w:div>
    <w:div w:id="1603369578">
      <w:bodyDiv w:val="1"/>
      <w:marLeft w:val="0"/>
      <w:marRight w:val="0"/>
      <w:marTop w:val="0"/>
      <w:marBottom w:val="0"/>
      <w:divBdr>
        <w:top w:val="none" w:sz="0" w:space="0" w:color="auto"/>
        <w:left w:val="none" w:sz="0" w:space="0" w:color="auto"/>
        <w:bottom w:val="none" w:sz="0" w:space="0" w:color="auto"/>
        <w:right w:val="none" w:sz="0" w:space="0" w:color="auto"/>
      </w:divBdr>
    </w:div>
    <w:div w:id="1603803152">
      <w:bodyDiv w:val="1"/>
      <w:marLeft w:val="0"/>
      <w:marRight w:val="0"/>
      <w:marTop w:val="0"/>
      <w:marBottom w:val="0"/>
      <w:divBdr>
        <w:top w:val="none" w:sz="0" w:space="0" w:color="auto"/>
        <w:left w:val="none" w:sz="0" w:space="0" w:color="auto"/>
        <w:bottom w:val="none" w:sz="0" w:space="0" w:color="auto"/>
        <w:right w:val="none" w:sz="0" w:space="0" w:color="auto"/>
      </w:divBdr>
    </w:div>
    <w:div w:id="1654025361">
      <w:bodyDiv w:val="1"/>
      <w:marLeft w:val="0"/>
      <w:marRight w:val="0"/>
      <w:marTop w:val="0"/>
      <w:marBottom w:val="0"/>
      <w:divBdr>
        <w:top w:val="none" w:sz="0" w:space="0" w:color="auto"/>
        <w:left w:val="none" w:sz="0" w:space="0" w:color="auto"/>
        <w:bottom w:val="none" w:sz="0" w:space="0" w:color="auto"/>
        <w:right w:val="none" w:sz="0" w:space="0" w:color="auto"/>
      </w:divBdr>
    </w:div>
    <w:div w:id="1668240050">
      <w:bodyDiv w:val="1"/>
      <w:marLeft w:val="0"/>
      <w:marRight w:val="0"/>
      <w:marTop w:val="0"/>
      <w:marBottom w:val="0"/>
      <w:divBdr>
        <w:top w:val="none" w:sz="0" w:space="0" w:color="auto"/>
        <w:left w:val="none" w:sz="0" w:space="0" w:color="auto"/>
        <w:bottom w:val="none" w:sz="0" w:space="0" w:color="auto"/>
        <w:right w:val="none" w:sz="0" w:space="0" w:color="auto"/>
      </w:divBdr>
    </w:div>
    <w:div w:id="1709723004">
      <w:bodyDiv w:val="1"/>
      <w:marLeft w:val="0"/>
      <w:marRight w:val="0"/>
      <w:marTop w:val="0"/>
      <w:marBottom w:val="0"/>
      <w:divBdr>
        <w:top w:val="none" w:sz="0" w:space="0" w:color="auto"/>
        <w:left w:val="none" w:sz="0" w:space="0" w:color="auto"/>
        <w:bottom w:val="none" w:sz="0" w:space="0" w:color="auto"/>
        <w:right w:val="none" w:sz="0" w:space="0" w:color="auto"/>
      </w:divBdr>
    </w:div>
    <w:div w:id="1716388688">
      <w:bodyDiv w:val="1"/>
      <w:marLeft w:val="0"/>
      <w:marRight w:val="0"/>
      <w:marTop w:val="0"/>
      <w:marBottom w:val="0"/>
      <w:divBdr>
        <w:top w:val="none" w:sz="0" w:space="0" w:color="auto"/>
        <w:left w:val="none" w:sz="0" w:space="0" w:color="auto"/>
        <w:bottom w:val="none" w:sz="0" w:space="0" w:color="auto"/>
        <w:right w:val="none" w:sz="0" w:space="0" w:color="auto"/>
      </w:divBdr>
    </w:div>
    <w:div w:id="1721898619">
      <w:bodyDiv w:val="1"/>
      <w:marLeft w:val="0"/>
      <w:marRight w:val="0"/>
      <w:marTop w:val="0"/>
      <w:marBottom w:val="0"/>
      <w:divBdr>
        <w:top w:val="none" w:sz="0" w:space="0" w:color="auto"/>
        <w:left w:val="none" w:sz="0" w:space="0" w:color="auto"/>
        <w:bottom w:val="none" w:sz="0" w:space="0" w:color="auto"/>
        <w:right w:val="none" w:sz="0" w:space="0" w:color="auto"/>
      </w:divBdr>
    </w:div>
    <w:div w:id="1737237813">
      <w:bodyDiv w:val="1"/>
      <w:marLeft w:val="0"/>
      <w:marRight w:val="0"/>
      <w:marTop w:val="0"/>
      <w:marBottom w:val="0"/>
      <w:divBdr>
        <w:top w:val="none" w:sz="0" w:space="0" w:color="auto"/>
        <w:left w:val="none" w:sz="0" w:space="0" w:color="auto"/>
        <w:bottom w:val="none" w:sz="0" w:space="0" w:color="auto"/>
        <w:right w:val="none" w:sz="0" w:space="0" w:color="auto"/>
      </w:divBdr>
    </w:div>
    <w:div w:id="1773435358">
      <w:bodyDiv w:val="1"/>
      <w:marLeft w:val="0"/>
      <w:marRight w:val="0"/>
      <w:marTop w:val="0"/>
      <w:marBottom w:val="0"/>
      <w:divBdr>
        <w:top w:val="none" w:sz="0" w:space="0" w:color="auto"/>
        <w:left w:val="none" w:sz="0" w:space="0" w:color="auto"/>
        <w:bottom w:val="none" w:sz="0" w:space="0" w:color="auto"/>
        <w:right w:val="none" w:sz="0" w:space="0" w:color="auto"/>
      </w:divBdr>
    </w:div>
    <w:div w:id="1791895857">
      <w:bodyDiv w:val="1"/>
      <w:marLeft w:val="0"/>
      <w:marRight w:val="0"/>
      <w:marTop w:val="0"/>
      <w:marBottom w:val="0"/>
      <w:divBdr>
        <w:top w:val="none" w:sz="0" w:space="0" w:color="auto"/>
        <w:left w:val="none" w:sz="0" w:space="0" w:color="auto"/>
        <w:bottom w:val="none" w:sz="0" w:space="0" w:color="auto"/>
        <w:right w:val="none" w:sz="0" w:space="0" w:color="auto"/>
      </w:divBdr>
    </w:div>
    <w:div w:id="1822649804">
      <w:bodyDiv w:val="1"/>
      <w:marLeft w:val="0"/>
      <w:marRight w:val="0"/>
      <w:marTop w:val="0"/>
      <w:marBottom w:val="0"/>
      <w:divBdr>
        <w:top w:val="none" w:sz="0" w:space="0" w:color="auto"/>
        <w:left w:val="none" w:sz="0" w:space="0" w:color="auto"/>
        <w:bottom w:val="none" w:sz="0" w:space="0" w:color="auto"/>
        <w:right w:val="none" w:sz="0" w:space="0" w:color="auto"/>
      </w:divBdr>
    </w:div>
    <w:div w:id="1858225955">
      <w:bodyDiv w:val="1"/>
      <w:marLeft w:val="0"/>
      <w:marRight w:val="0"/>
      <w:marTop w:val="0"/>
      <w:marBottom w:val="0"/>
      <w:divBdr>
        <w:top w:val="none" w:sz="0" w:space="0" w:color="auto"/>
        <w:left w:val="none" w:sz="0" w:space="0" w:color="auto"/>
        <w:bottom w:val="none" w:sz="0" w:space="0" w:color="auto"/>
        <w:right w:val="none" w:sz="0" w:space="0" w:color="auto"/>
      </w:divBdr>
    </w:div>
    <w:div w:id="1872497292">
      <w:bodyDiv w:val="1"/>
      <w:marLeft w:val="0"/>
      <w:marRight w:val="0"/>
      <w:marTop w:val="0"/>
      <w:marBottom w:val="0"/>
      <w:divBdr>
        <w:top w:val="none" w:sz="0" w:space="0" w:color="auto"/>
        <w:left w:val="none" w:sz="0" w:space="0" w:color="auto"/>
        <w:bottom w:val="none" w:sz="0" w:space="0" w:color="auto"/>
        <w:right w:val="none" w:sz="0" w:space="0" w:color="auto"/>
      </w:divBdr>
    </w:div>
    <w:div w:id="1889953935">
      <w:bodyDiv w:val="1"/>
      <w:marLeft w:val="0"/>
      <w:marRight w:val="0"/>
      <w:marTop w:val="0"/>
      <w:marBottom w:val="0"/>
      <w:divBdr>
        <w:top w:val="none" w:sz="0" w:space="0" w:color="auto"/>
        <w:left w:val="none" w:sz="0" w:space="0" w:color="auto"/>
        <w:bottom w:val="none" w:sz="0" w:space="0" w:color="auto"/>
        <w:right w:val="none" w:sz="0" w:space="0" w:color="auto"/>
      </w:divBdr>
    </w:div>
    <w:div w:id="1940336504">
      <w:bodyDiv w:val="1"/>
      <w:marLeft w:val="0"/>
      <w:marRight w:val="0"/>
      <w:marTop w:val="0"/>
      <w:marBottom w:val="0"/>
      <w:divBdr>
        <w:top w:val="none" w:sz="0" w:space="0" w:color="auto"/>
        <w:left w:val="none" w:sz="0" w:space="0" w:color="auto"/>
        <w:bottom w:val="none" w:sz="0" w:space="0" w:color="auto"/>
        <w:right w:val="none" w:sz="0" w:space="0" w:color="auto"/>
      </w:divBdr>
    </w:div>
    <w:div w:id="1953971942">
      <w:bodyDiv w:val="1"/>
      <w:marLeft w:val="0"/>
      <w:marRight w:val="0"/>
      <w:marTop w:val="0"/>
      <w:marBottom w:val="0"/>
      <w:divBdr>
        <w:top w:val="none" w:sz="0" w:space="0" w:color="auto"/>
        <w:left w:val="none" w:sz="0" w:space="0" w:color="auto"/>
        <w:bottom w:val="none" w:sz="0" w:space="0" w:color="auto"/>
        <w:right w:val="none" w:sz="0" w:space="0" w:color="auto"/>
      </w:divBdr>
    </w:div>
    <w:div w:id="1976525748">
      <w:bodyDiv w:val="1"/>
      <w:marLeft w:val="0"/>
      <w:marRight w:val="0"/>
      <w:marTop w:val="0"/>
      <w:marBottom w:val="0"/>
      <w:divBdr>
        <w:top w:val="none" w:sz="0" w:space="0" w:color="auto"/>
        <w:left w:val="none" w:sz="0" w:space="0" w:color="auto"/>
        <w:bottom w:val="none" w:sz="0" w:space="0" w:color="auto"/>
        <w:right w:val="none" w:sz="0" w:space="0" w:color="auto"/>
      </w:divBdr>
    </w:div>
    <w:div w:id="2022194708">
      <w:bodyDiv w:val="1"/>
      <w:marLeft w:val="0"/>
      <w:marRight w:val="0"/>
      <w:marTop w:val="0"/>
      <w:marBottom w:val="0"/>
      <w:divBdr>
        <w:top w:val="none" w:sz="0" w:space="0" w:color="auto"/>
        <w:left w:val="none" w:sz="0" w:space="0" w:color="auto"/>
        <w:bottom w:val="none" w:sz="0" w:space="0" w:color="auto"/>
        <w:right w:val="none" w:sz="0" w:space="0" w:color="auto"/>
      </w:divBdr>
    </w:div>
    <w:div w:id="2050838192">
      <w:bodyDiv w:val="1"/>
      <w:marLeft w:val="0"/>
      <w:marRight w:val="0"/>
      <w:marTop w:val="0"/>
      <w:marBottom w:val="0"/>
      <w:divBdr>
        <w:top w:val="none" w:sz="0" w:space="0" w:color="auto"/>
        <w:left w:val="none" w:sz="0" w:space="0" w:color="auto"/>
        <w:bottom w:val="none" w:sz="0" w:space="0" w:color="auto"/>
        <w:right w:val="none" w:sz="0" w:space="0" w:color="auto"/>
      </w:divBdr>
    </w:div>
    <w:div w:id="2082752384">
      <w:bodyDiv w:val="1"/>
      <w:marLeft w:val="0"/>
      <w:marRight w:val="0"/>
      <w:marTop w:val="0"/>
      <w:marBottom w:val="0"/>
      <w:divBdr>
        <w:top w:val="none" w:sz="0" w:space="0" w:color="auto"/>
        <w:left w:val="none" w:sz="0" w:space="0" w:color="auto"/>
        <w:bottom w:val="none" w:sz="0" w:space="0" w:color="auto"/>
        <w:right w:val="none" w:sz="0" w:space="0" w:color="auto"/>
      </w:divBdr>
    </w:div>
    <w:div w:id="209027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 Looker</dc:creator>
  <cp:lastModifiedBy>hrdeveau</cp:lastModifiedBy>
  <cp:revision>2</cp:revision>
  <cp:lastPrinted>2014-07-15T15:11:00Z</cp:lastPrinted>
  <dcterms:created xsi:type="dcterms:W3CDTF">2014-12-08T03:03:00Z</dcterms:created>
  <dcterms:modified xsi:type="dcterms:W3CDTF">2014-12-08T03:03:00Z</dcterms:modified>
</cp:coreProperties>
</file>