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8A1" w:rsidRPr="00A04595" w:rsidRDefault="00A728A1" w:rsidP="00A728A1">
      <w:pPr>
        <w:spacing w:after="0" w:line="480" w:lineRule="auto"/>
        <w:rPr>
          <w:rFonts w:ascii="Arial" w:hAnsi="Arial" w:cs="Arial"/>
          <w:b/>
          <w:szCs w:val="24"/>
        </w:rPr>
      </w:pPr>
      <w:r>
        <w:rPr>
          <w:rFonts w:ascii="Arial" w:hAnsi="Arial" w:cs="Arial"/>
          <w:b/>
          <w:szCs w:val="24"/>
        </w:rPr>
        <w:t>SUPPLEMENTARY MATERIAL</w:t>
      </w:r>
    </w:p>
    <w:p w:rsidR="002C43E4" w:rsidRPr="002C43E4" w:rsidRDefault="00A728A1" w:rsidP="00A04ED5">
      <w:pPr>
        <w:spacing w:after="0" w:line="480" w:lineRule="auto"/>
        <w:rPr>
          <w:rFonts w:ascii="Arial" w:hAnsi="Arial" w:cs="Arial"/>
          <w:szCs w:val="24"/>
        </w:rPr>
      </w:pPr>
      <w:r w:rsidRPr="00A04595">
        <w:rPr>
          <w:rFonts w:ascii="Arial" w:hAnsi="Arial" w:cs="Arial"/>
          <w:b/>
          <w:szCs w:val="24"/>
        </w:rPr>
        <w:t>Manuscript</w:t>
      </w:r>
      <w:r>
        <w:rPr>
          <w:rFonts w:ascii="Arial" w:hAnsi="Arial" w:cs="Arial"/>
          <w:szCs w:val="24"/>
        </w:rPr>
        <w:t xml:space="preserve"> </w:t>
      </w:r>
      <w:r w:rsidRPr="007F6165">
        <w:rPr>
          <w:rFonts w:ascii="Arial" w:hAnsi="Arial" w:cs="Arial"/>
          <w:b/>
          <w:szCs w:val="24"/>
        </w:rPr>
        <w:t>Title:</w:t>
      </w:r>
      <w:r>
        <w:rPr>
          <w:rFonts w:ascii="Arial" w:hAnsi="Arial" w:cs="Arial"/>
          <w:szCs w:val="24"/>
        </w:rPr>
        <w:t xml:space="preserve"> School-Located Influenza Vaccination Reduces </w:t>
      </w:r>
      <w:r w:rsidRPr="00EE50FD">
        <w:rPr>
          <w:rFonts w:ascii="Arial" w:hAnsi="Arial" w:cs="Arial"/>
          <w:szCs w:val="24"/>
        </w:rPr>
        <w:t>Community</w:t>
      </w:r>
      <w:r>
        <w:rPr>
          <w:rFonts w:ascii="Arial" w:hAnsi="Arial" w:cs="Arial"/>
          <w:szCs w:val="24"/>
        </w:rPr>
        <w:t xml:space="preserve"> Risk for Influenza and Influenza-like Illness Emergency Care Visits </w:t>
      </w:r>
    </w:p>
    <w:p w:rsidR="0012532C" w:rsidRDefault="0012532C" w:rsidP="00A04ED5">
      <w:pPr>
        <w:spacing w:after="0" w:line="480" w:lineRule="auto"/>
        <w:rPr>
          <w:rFonts w:ascii="Arial" w:hAnsi="Arial" w:cs="Arial"/>
          <w:b/>
          <w:sz w:val="22"/>
          <w:szCs w:val="22"/>
        </w:rPr>
      </w:pPr>
    </w:p>
    <w:p w:rsidR="00966AC3" w:rsidRPr="00A15219" w:rsidRDefault="00F31B20" w:rsidP="00A04ED5">
      <w:pPr>
        <w:spacing w:after="0" w:line="480" w:lineRule="auto"/>
        <w:rPr>
          <w:rFonts w:ascii="Arial" w:hAnsi="Arial" w:cs="Arial"/>
          <w:b/>
          <w:sz w:val="22"/>
          <w:szCs w:val="22"/>
        </w:rPr>
      </w:pPr>
      <w:bookmarkStart w:id="0" w:name="_GoBack"/>
      <w:r>
        <w:rPr>
          <w:rFonts w:ascii="Arial" w:hAnsi="Arial" w:cs="Arial"/>
          <w:b/>
          <w:sz w:val="22"/>
          <w:szCs w:val="22"/>
        </w:rPr>
        <w:t>Supplementary Appendix A</w:t>
      </w:r>
      <w:r w:rsidR="001C0D1D">
        <w:rPr>
          <w:rFonts w:ascii="Arial" w:hAnsi="Arial" w:cs="Arial"/>
          <w:b/>
          <w:sz w:val="22"/>
          <w:szCs w:val="22"/>
        </w:rPr>
        <w:t xml:space="preserve">. </w:t>
      </w:r>
      <w:r w:rsidR="00A15219">
        <w:rPr>
          <w:rFonts w:ascii="Arial" w:hAnsi="Arial" w:cs="Arial"/>
          <w:b/>
          <w:sz w:val="22"/>
          <w:szCs w:val="22"/>
        </w:rPr>
        <w:t xml:space="preserve">Sensitivity analysis for </w:t>
      </w:r>
      <w:r w:rsidR="000F517E">
        <w:rPr>
          <w:rFonts w:ascii="Arial" w:hAnsi="Arial" w:cs="Arial"/>
          <w:b/>
          <w:sz w:val="22"/>
          <w:szCs w:val="22"/>
        </w:rPr>
        <w:t>ascertainment</w:t>
      </w:r>
      <w:r w:rsidR="00C94A5B" w:rsidRPr="00C3106A">
        <w:rPr>
          <w:rFonts w:ascii="Arial" w:hAnsi="Arial" w:cs="Arial"/>
          <w:b/>
          <w:sz w:val="22"/>
          <w:szCs w:val="22"/>
        </w:rPr>
        <w:t xml:space="preserve"> bias in</w:t>
      </w:r>
      <w:r w:rsidR="00D75482">
        <w:rPr>
          <w:rFonts w:ascii="Arial" w:hAnsi="Arial" w:cs="Arial"/>
          <w:b/>
          <w:sz w:val="22"/>
          <w:szCs w:val="22"/>
        </w:rPr>
        <w:t xml:space="preserve"> the estimation of </w:t>
      </w:r>
      <w:r w:rsidR="00A15219">
        <w:rPr>
          <w:rFonts w:ascii="Arial" w:hAnsi="Arial" w:cs="Arial"/>
          <w:b/>
          <w:sz w:val="22"/>
          <w:szCs w:val="22"/>
        </w:rPr>
        <w:t xml:space="preserve">the effectiveness of the school-located influenza vaccination program </w:t>
      </w:r>
      <w:r w:rsidR="00D75482">
        <w:rPr>
          <w:rFonts w:ascii="Arial" w:hAnsi="Arial" w:cs="Arial"/>
          <w:b/>
          <w:sz w:val="22"/>
          <w:szCs w:val="22"/>
        </w:rPr>
        <w:t xml:space="preserve">in </w:t>
      </w:r>
      <w:r w:rsidR="00A15219">
        <w:rPr>
          <w:rFonts w:ascii="Arial" w:hAnsi="Arial" w:cs="Arial"/>
          <w:b/>
          <w:sz w:val="22"/>
          <w:szCs w:val="22"/>
        </w:rPr>
        <w:t xml:space="preserve">Alachua County, </w:t>
      </w:r>
      <w:r w:rsidR="00D75482">
        <w:rPr>
          <w:rFonts w:ascii="Arial" w:hAnsi="Arial" w:cs="Arial"/>
          <w:b/>
          <w:sz w:val="22"/>
          <w:szCs w:val="22"/>
        </w:rPr>
        <w:t>Florida</w:t>
      </w:r>
      <w:r w:rsidR="0061754E">
        <w:rPr>
          <w:rFonts w:ascii="Arial" w:hAnsi="Arial" w:cs="Arial"/>
          <w:b/>
          <w:sz w:val="22"/>
          <w:szCs w:val="22"/>
        </w:rPr>
        <w:t>, from 2011-2013.</w:t>
      </w:r>
    </w:p>
    <w:bookmarkEnd w:id="0"/>
    <w:p w:rsidR="00133B93" w:rsidRDefault="00EE7D72" w:rsidP="00A04ED5">
      <w:pPr>
        <w:spacing w:after="0" w:line="480" w:lineRule="auto"/>
        <w:ind w:firstLine="720"/>
        <w:rPr>
          <w:rFonts w:ascii="Arial" w:hAnsi="Arial" w:cs="Arial"/>
          <w:sz w:val="22"/>
          <w:szCs w:val="22"/>
        </w:rPr>
      </w:pPr>
      <w:r>
        <w:rPr>
          <w:rFonts w:ascii="Arial" w:hAnsi="Arial" w:cs="Arial"/>
          <w:sz w:val="22"/>
          <w:szCs w:val="22"/>
        </w:rPr>
        <w:t>Information on the frequency of respiratory illness captured by syndromic surveillance systems</w:t>
      </w:r>
      <w:r w:rsidR="003737D6">
        <w:rPr>
          <w:rFonts w:ascii="Arial" w:hAnsi="Arial" w:cs="Arial"/>
          <w:sz w:val="22"/>
          <w:szCs w:val="22"/>
        </w:rPr>
        <w:t xml:space="preserve"> </w:t>
      </w:r>
      <w:r>
        <w:rPr>
          <w:rFonts w:ascii="Arial" w:hAnsi="Arial" w:cs="Arial"/>
          <w:sz w:val="22"/>
          <w:szCs w:val="22"/>
        </w:rPr>
        <w:t xml:space="preserve">is routinely used </w:t>
      </w:r>
      <w:r w:rsidR="00D75482">
        <w:rPr>
          <w:rFonts w:ascii="Arial" w:hAnsi="Arial" w:cs="Arial"/>
          <w:sz w:val="22"/>
          <w:szCs w:val="22"/>
        </w:rPr>
        <w:t xml:space="preserve">to estimate the effectiveness of </w:t>
      </w:r>
      <w:r w:rsidR="003737D6">
        <w:rPr>
          <w:rFonts w:ascii="Arial" w:hAnsi="Arial" w:cs="Arial"/>
          <w:sz w:val="22"/>
          <w:szCs w:val="22"/>
        </w:rPr>
        <w:t xml:space="preserve">influenza </w:t>
      </w:r>
      <w:r w:rsidR="00807047">
        <w:rPr>
          <w:rFonts w:ascii="Arial" w:hAnsi="Arial" w:cs="Arial"/>
          <w:sz w:val="22"/>
          <w:szCs w:val="22"/>
        </w:rPr>
        <w:t>vaccination</w:t>
      </w:r>
      <w:r>
        <w:rPr>
          <w:rFonts w:ascii="Arial" w:hAnsi="Arial" w:cs="Arial"/>
          <w:sz w:val="22"/>
          <w:szCs w:val="22"/>
        </w:rPr>
        <w:t>.</w:t>
      </w:r>
      <w:r w:rsidR="00AD621C" w:rsidRPr="00807047">
        <w:rPr>
          <w:rFonts w:ascii="Arial" w:hAnsi="Arial" w:cs="Arial"/>
          <w:noProof/>
          <w:sz w:val="22"/>
          <w:szCs w:val="22"/>
          <w:vertAlign w:val="superscript"/>
        </w:rPr>
        <w:t>1-9</w:t>
      </w:r>
      <w:r>
        <w:rPr>
          <w:rFonts w:ascii="Arial" w:hAnsi="Arial" w:cs="Arial"/>
          <w:sz w:val="22"/>
          <w:szCs w:val="22"/>
        </w:rPr>
        <w:t xml:space="preserve">  </w:t>
      </w:r>
      <w:r w:rsidR="003737D6">
        <w:rPr>
          <w:rFonts w:ascii="Arial" w:hAnsi="Arial" w:cs="Arial"/>
          <w:sz w:val="22"/>
          <w:szCs w:val="22"/>
        </w:rPr>
        <w:t xml:space="preserve">These types of studies are typically </w:t>
      </w:r>
      <w:r w:rsidR="00E82510">
        <w:rPr>
          <w:rFonts w:ascii="Arial" w:hAnsi="Arial" w:cs="Arial"/>
          <w:sz w:val="22"/>
          <w:szCs w:val="22"/>
        </w:rPr>
        <w:t>inexpensive</w:t>
      </w:r>
      <w:r w:rsidR="003737D6">
        <w:rPr>
          <w:rFonts w:ascii="Arial" w:hAnsi="Arial" w:cs="Arial"/>
          <w:sz w:val="22"/>
          <w:szCs w:val="22"/>
        </w:rPr>
        <w:t xml:space="preserve"> and efficient to conduct </w:t>
      </w:r>
      <w:r w:rsidR="00A15219">
        <w:rPr>
          <w:rFonts w:ascii="Arial" w:hAnsi="Arial" w:cs="Arial"/>
          <w:sz w:val="22"/>
          <w:szCs w:val="22"/>
        </w:rPr>
        <w:t xml:space="preserve">using </w:t>
      </w:r>
      <w:r w:rsidR="003737D6">
        <w:rPr>
          <w:rFonts w:ascii="Arial" w:hAnsi="Arial" w:cs="Arial"/>
          <w:sz w:val="22"/>
          <w:szCs w:val="22"/>
        </w:rPr>
        <w:t>existing information about the frequency</w:t>
      </w:r>
      <w:r w:rsidR="00A15219">
        <w:rPr>
          <w:rFonts w:ascii="Arial" w:hAnsi="Arial" w:cs="Arial"/>
          <w:sz w:val="22"/>
          <w:szCs w:val="22"/>
        </w:rPr>
        <w:t xml:space="preserve"> of symptomatic influenza in a</w:t>
      </w:r>
      <w:r w:rsidR="003737D6">
        <w:rPr>
          <w:rFonts w:ascii="Arial" w:hAnsi="Arial" w:cs="Arial"/>
          <w:sz w:val="22"/>
          <w:szCs w:val="22"/>
        </w:rPr>
        <w:t xml:space="preserve"> study population</w:t>
      </w:r>
      <w:r w:rsidR="00567104">
        <w:rPr>
          <w:rFonts w:ascii="Arial" w:hAnsi="Arial" w:cs="Arial"/>
          <w:sz w:val="22"/>
          <w:szCs w:val="22"/>
        </w:rPr>
        <w:t xml:space="preserve">. </w:t>
      </w:r>
      <w:r w:rsidR="0084045B">
        <w:rPr>
          <w:rFonts w:ascii="Arial" w:hAnsi="Arial" w:cs="Arial"/>
          <w:sz w:val="22"/>
          <w:szCs w:val="22"/>
        </w:rPr>
        <w:t>Despite the advantage</w:t>
      </w:r>
      <w:r w:rsidR="00621597">
        <w:rPr>
          <w:rFonts w:ascii="Arial" w:hAnsi="Arial" w:cs="Arial"/>
          <w:sz w:val="22"/>
          <w:szCs w:val="22"/>
        </w:rPr>
        <w:t>s of this approach for estimating influenza vaccine effectiveness, there is a growing body of</w:t>
      </w:r>
      <w:r>
        <w:rPr>
          <w:rFonts w:ascii="Arial" w:hAnsi="Arial" w:cs="Arial"/>
          <w:sz w:val="22"/>
          <w:szCs w:val="22"/>
        </w:rPr>
        <w:t xml:space="preserve"> evidence that</w:t>
      </w:r>
      <w:r w:rsidR="003737D6">
        <w:rPr>
          <w:rFonts w:ascii="Arial" w:hAnsi="Arial" w:cs="Arial"/>
          <w:sz w:val="22"/>
          <w:szCs w:val="22"/>
        </w:rPr>
        <w:t xml:space="preserve"> observational studies of influenza vaccine effectiveness are </w:t>
      </w:r>
      <w:r w:rsidR="00D75482">
        <w:rPr>
          <w:rFonts w:ascii="Arial" w:hAnsi="Arial" w:cs="Arial"/>
          <w:sz w:val="22"/>
          <w:szCs w:val="22"/>
        </w:rPr>
        <w:t xml:space="preserve">prone to </w:t>
      </w:r>
      <w:r w:rsidR="00807047">
        <w:rPr>
          <w:rFonts w:ascii="Arial" w:hAnsi="Arial" w:cs="Arial"/>
          <w:sz w:val="22"/>
          <w:szCs w:val="22"/>
        </w:rPr>
        <w:t>confounding</w:t>
      </w:r>
      <w:r w:rsidR="002208DB">
        <w:rPr>
          <w:rFonts w:ascii="Arial" w:hAnsi="Arial" w:cs="Arial"/>
          <w:sz w:val="22"/>
          <w:szCs w:val="22"/>
        </w:rPr>
        <w:t xml:space="preserve"> and </w:t>
      </w:r>
      <w:r w:rsidR="00B1197B">
        <w:rPr>
          <w:rFonts w:ascii="Arial" w:hAnsi="Arial" w:cs="Arial"/>
          <w:sz w:val="22"/>
          <w:szCs w:val="22"/>
        </w:rPr>
        <w:t>bias</w:t>
      </w:r>
      <w:r w:rsidR="003737D6">
        <w:rPr>
          <w:rFonts w:ascii="Arial" w:hAnsi="Arial" w:cs="Arial"/>
          <w:sz w:val="22"/>
          <w:szCs w:val="22"/>
        </w:rPr>
        <w:t>.</w:t>
      </w:r>
      <w:r w:rsidR="00AD621C" w:rsidRPr="00B1197B">
        <w:rPr>
          <w:rFonts w:ascii="Arial" w:hAnsi="Arial" w:cs="Arial"/>
          <w:noProof/>
          <w:sz w:val="22"/>
          <w:szCs w:val="22"/>
          <w:vertAlign w:val="superscript"/>
        </w:rPr>
        <w:t>10-14</w:t>
      </w:r>
      <w:r w:rsidR="003737D6">
        <w:rPr>
          <w:rFonts w:ascii="Arial" w:hAnsi="Arial" w:cs="Arial"/>
          <w:sz w:val="22"/>
          <w:szCs w:val="22"/>
        </w:rPr>
        <w:t xml:space="preserve">  </w:t>
      </w:r>
      <w:r w:rsidR="00A15219">
        <w:rPr>
          <w:rFonts w:ascii="Arial" w:hAnsi="Arial" w:cs="Arial"/>
          <w:sz w:val="22"/>
          <w:szCs w:val="22"/>
        </w:rPr>
        <w:t xml:space="preserve">Ecologic studies </w:t>
      </w:r>
      <w:r>
        <w:rPr>
          <w:rFonts w:ascii="Arial" w:hAnsi="Arial" w:cs="Arial"/>
          <w:sz w:val="22"/>
          <w:szCs w:val="22"/>
        </w:rPr>
        <w:t>using</w:t>
      </w:r>
      <w:r w:rsidR="00A15219">
        <w:rPr>
          <w:rFonts w:ascii="Arial" w:hAnsi="Arial" w:cs="Arial"/>
          <w:sz w:val="22"/>
          <w:szCs w:val="22"/>
        </w:rPr>
        <w:t xml:space="preserve"> data from routine syndromic surve</w:t>
      </w:r>
      <w:r w:rsidR="00074EAD">
        <w:rPr>
          <w:rFonts w:ascii="Arial" w:hAnsi="Arial" w:cs="Arial"/>
          <w:sz w:val="22"/>
          <w:szCs w:val="22"/>
        </w:rPr>
        <w:t>illance systems are</w:t>
      </w:r>
      <w:r w:rsidR="00A15219">
        <w:rPr>
          <w:rFonts w:ascii="Arial" w:hAnsi="Arial" w:cs="Arial"/>
          <w:sz w:val="22"/>
          <w:szCs w:val="22"/>
        </w:rPr>
        <w:t xml:space="preserve"> </w:t>
      </w:r>
      <w:proofErr w:type="gramStart"/>
      <w:r w:rsidR="00A15219">
        <w:rPr>
          <w:rFonts w:ascii="Arial" w:hAnsi="Arial" w:cs="Arial"/>
          <w:sz w:val="22"/>
          <w:szCs w:val="22"/>
        </w:rPr>
        <w:t>particularly</w:t>
      </w:r>
      <w:proofErr w:type="gramEnd"/>
      <w:r w:rsidR="00A15219">
        <w:rPr>
          <w:rFonts w:ascii="Arial" w:hAnsi="Arial" w:cs="Arial"/>
          <w:sz w:val="22"/>
          <w:szCs w:val="22"/>
        </w:rPr>
        <w:t xml:space="preserve"> prone to p</w:t>
      </w:r>
      <w:r w:rsidR="004F5BA3">
        <w:rPr>
          <w:rFonts w:ascii="Arial" w:hAnsi="Arial" w:cs="Arial"/>
          <w:sz w:val="22"/>
          <w:szCs w:val="22"/>
        </w:rPr>
        <w:t xml:space="preserve">otential bias resulting from </w:t>
      </w:r>
      <w:r w:rsidR="00D75482">
        <w:rPr>
          <w:rFonts w:ascii="Arial" w:hAnsi="Arial" w:cs="Arial"/>
          <w:sz w:val="22"/>
          <w:szCs w:val="22"/>
        </w:rPr>
        <w:t xml:space="preserve">differential ascertainment </w:t>
      </w:r>
      <w:r w:rsidR="004F5BA3">
        <w:rPr>
          <w:rFonts w:ascii="Arial" w:hAnsi="Arial" w:cs="Arial"/>
          <w:sz w:val="22"/>
          <w:szCs w:val="22"/>
        </w:rPr>
        <w:t>and/or</w:t>
      </w:r>
      <w:r w:rsidR="00D75482">
        <w:rPr>
          <w:rFonts w:ascii="Arial" w:hAnsi="Arial" w:cs="Arial"/>
          <w:sz w:val="22"/>
          <w:szCs w:val="22"/>
        </w:rPr>
        <w:t xml:space="preserve"> misclassification of </w:t>
      </w:r>
      <w:r w:rsidR="004F5BA3">
        <w:rPr>
          <w:rFonts w:ascii="Arial" w:hAnsi="Arial" w:cs="Arial"/>
          <w:sz w:val="22"/>
          <w:szCs w:val="22"/>
        </w:rPr>
        <w:t xml:space="preserve">symptomatic influenza </w:t>
      </w:r>
      <w:r w:rsidR="00D75482">
        <w:rPr>
          <w:rFonts w:ascii="Arial" w:hAnsi="Arial" w:cs="Arial"/>
          <w:sz w:val="22"/>
          <w:szCs w:val="22"/>
        </w:rPr>
        <w:t>cases</w:t>
      </w:r>
      <w:r w:rsidR="004F5BA3">
        <w:rPr>
          <w:rFonts w:ascii="Arial" w:hAnsi="Arial" w:cs="Arial"/>
          <w:sz w:val="22"/>
          <w:szCs w:val="22"/>
        </w:rPr>
        <w:t xml:space="preserve"> between comparison groups.</w:t>
      </w:r>
    </w:p>
    <w:p w:rsidR="00133B93" w:rsidRDefault="00133B93" w:rsidP="00A04ED5">
      <w:pPr>
        <w:spacing w:after="0" w:line="480" w:lineRule="auto"/>
        <w:ind w:firstLine="720"/>
        <w:rPr>
          <w:rFonts w:ascii="Arial" w:hAnsi="Arial" w:cs="Arial"/>
          <w:sz w:val="22"/>
          <w:szCs w:val="22"/>
        </w:rPr>
      </w:pPr>
      <w:r>
        <w:rPr>
          <w:rFonts w:ascii="Arial" w:hAnsi="Arial" w:cs="Arial"/>
          <w:sz w:val="22"/>
          <w:szCs w:val="22"/>
        </w:rPr>
        <w:t xml:space="preserve">One method for investigating and/or accounting for potential bias and confounding in these types of studies is through the use </w:t>
      </w:r>
      <w:r w:rsidR="005E4EA5">
        <w:rPr>
          <w:rFonts w:ascii="Arial" w:hAnsi="Arial" w:cs="Arial"/>
          <w:sz w:val="22"/>
          <w:szCs w:val="22"/>
        </w:rPr>
        <w:t xml:space="preserve">of negative control </w:t>
      </w:r>
      <w:r>
        <w:rPr>
          <w:rFonts w:ascii="Arial" w:hAnsi="Arial" w:cs="Arial"/>
          <w:sz w:val="22"/>
          <w:szCs w:val="22"/>
        </w:rPr>
        <w:t>outcomes</w:t>
      </w:r>
      <w:r w:rsidR="00567104">
        <w:rPr>
          <w:rFonts w:ascii="Arial" w:hAnsi="Arial" w:cs="Arial"/>
          <w:sz w:val="22"/>
          <w:szCs w:val="22"/>
        </w:rPr>
        <w:t xml:space="preserve">. </w:t>
      </w:r>
      <w:r>
        <w:rPr>
          <w:rFonts w:ascii="Arial" w:hAnsi="Arial" w:cs="Arial"/>
          <w:sz w:val="22"/>
          <w:szCs w:val="22"/>
        </w:rPr>
        <w:t>A</w:t>
      </w:r>
      <w:r w:rsidRPr="00C3106A">
        <w:rPr>
          <w:rFonts w:ascii="Arial" w:hAnsi="Arial" w:cs="Arial"/>
          <w:sz w:val="22"/>
          <w:szCs w:val="22"/>
        </w:rPr>
        <w:t xml:space="preserve">mong elderly members of </w:t>
      </w:r>
      <w:r>
        <w:rPr>
          <w:rFonts w:ascii="Arial" w:hAnsi="Arial" w:cs="Arial"/>
          <w:sz w:val="22"/>
          <w:szCs w:val="22"/>
        </w:rPr>
        <w:t xml:space="preserve">a health maintenance organization, </w:t>
      </w:r>
      <w:r w:rsidR="00807047">
        <w:rPr>
          <w:rFonts w:ascii="Arial" w:hAnsi="Arial" w:cs="Arial"/>
          <w:sz w:val="22"/>
          <w:szCs w:val="22"/>
        </w:rPr>
        <w:t xml:space="preserve">Jackson </w:t>
      </w:r>
      <w:proofErr w:type="gramStart"/>
      <w:r w:rsidR="00807047" w:rsidRPr="00807047">
        <w:rPr>
          <w:rFonts w:ascii="Arial" w:hAnsi="Arial" w:cs="Arial"/>
          <w:i/>
          <w:sz w:val="22"/>
          <w:szCs w:val="22"/>
        </w:rPr>
        <w:t>et</w:t>
      </w:r>
      <w:proofErr w:type="gramEnd"/>
      <w:r w:rsidR="00807047" w:rsidRPr="00807047">
        <w:rPr>
          <w:rFonts w:ascii="Arial" w:hAnsi="Arial" w:cs="Arial"/>
          <w:i/>
          <w:sz w:val="22"/>
          <w:szCs w:val="22"/>
        </w:rPr>
        <w:t xml:space="preserve"> al.</w:t>
      </w:r>
      <w:r w:rsidR="00AD621C" w:rsidRPr="00B1197B">
        <w:rPr>
          <w:rFonts w:ascii="Arial" w:hAnsi="Arial" w:cs="Arial"/>
          <w:noProof/>
          <w:sz w:val="22"/>
          <w:szCs w:val="22"/>
          <w:vertAlign w:val="superscript"/>
        </w:rPr>
        <w:t>11</w:t>
      </w:r>
      <w:r w:rsidR="00E935C0">
        <w:rPr>
          <w:rFonts w:ascii="Arial" w:hAnsi="Arial" w:cs="Arial"/>
          <w:sz w:val="22"/>
          <w:szCs w:val="22"/>
        </w:rPr>
        <w:t xml:space="preserve"> employed</w:t>
      </w:r>
      <w:r w:rsidRPr="00C3106A">
        <w:rPr>
          <w:rFonts w:ascii="Arial" w:hAnsi="Arial" w:cs="Arial"/>
          <w:sz w:val="22"/>
          <w:szCs w:val="22"/>
        </w:rPr>
        <w:t xml:space="preserve"> negative controls to investigate</w:t>
      </w:r>
      <w:r w:rsidR="00A15219">
        <w:rPr>
          <w:rFonts w:ascii="Arial" w:hAnsi="Arial" w:cs="Arial"/>
          <w:sz w:val="22"/>
          <w:szCs w:val="22"/>
        </w:rPr>
        <w:t xml:space="preserve"> potential</w:t>
      </w:r>
      <w:r w:rsidRPr="00C3106A">
        <w:rPr>
          <w:rFonts w:ascii="Arial" w:hAnsi="Arial" w:cs="Arial"/>
          <w:sz w:val="22"/>
          <w:szCs w:val="22"/>
        </w:rPr>
        <w:t xml:space="preserve"> confounding </w:t>
      </w:r>
      <w:r>
        <w:rPr>
          <w:rFonts w:ascii="Arial" w:hAnsi="Arial" w:cs="Arial"/>
          <w:sz w:val="22"/>
          <w:szCs w:val="22"/>
        </w:rPr>
        <w:t xml:space="preserve">of estimated </w:t>
      </w:r>
      <w:r w:rsidRPr="00C3106A">
        <w:rPr>
          <w:rFonts w:ascii="Arial" w:hAnsi="Arial" w:cs="Arial"/>
          <w:sz w:val="22"/>
          <w:szCs w:val="22"/>
        </w:rPr>
        <w:t>influenza vaccination effects</w:t>
      </w:r>
      <w:r w:rsidR="00A15219">
        <w:rPr>
          <w:rFonts w:ascii="Arial" w:hAnsi="Arial" w:cs="Arial"/>
          <w:sz w:val="22"/>
          <w:szCs w:val="22"/>
        </w:rPr>
        <w:t xml:space="preserve"> by differences between vaccinated and unvaccinated individuals in their</w:t>
      </w:r>
      <w:r>
        <w:rPr>
          <w:rFonts w:ascii="Arial" w:hAnsi="Arial" w:cs="Arial"/>
          <w:sz w:val="22"/>
          <w:szCs w:val="22"/>
        </w:rPr>
        <w:t xml:space="preserve"> general s</w:t>
      </w:r>
      <w:r w:rsidR="00A15219">
        <w:rPr>
          <w:rFonts w:ascii="Arial" w:hAnsi="Arial" w:cs="Arial"/>
          <w:sz w:val="22"/>
          <w:szCs w:val="22"/>
        </w:rPr>
        <w:t>tate of health</w:t>
      </w:r>
      <w:r w:rsidRPr="00C3106A">
        <w:rPr>
          <w:rFonts w:ascii="Arial" w:hAnsi="Arial" w:cs="Arial"/>
          <w:sz w:val="22"/>
          <w:szCs w:val="22"/>
        </w:rPr>
        <w:t xml:space="preserve">. </w:t>
      </w:r>
      <w:proofErr w:type="spellStart"/>
      <w:r w:rsidRPr="00C3106A">
        <w:rPr>
          <w:rFonts w:ascii="Arial" w:hAnsi="Arial" w:cs="Arial"/>
          <w:sz w:val="22"/>
          <w:szCs w:val="22"/>
        </w:rPr>
        <w:t>Lipsitch</w:t>
      </w:r>
      <w:proofErr w:type="spellEnd"/>
      <w:r w:rsidRPr="00C3106A">
        <w:rPr>
          <w:rFonts w:ascii="Arial" w:hAnsi="Arial" w:cs="Arial"/>
          <w:sz w:val="22"/>
          <w:szCs w:val="22"/>
        </w:rPr>
        <w:t xml:space="preserve">, </w:t>
      </w:r>
      <w:proofErr w:type="spellStart"/>
      <w:r w:rsidRPr="00C3106A">
        <w:rPr>
          <w:rFonts w:ascii="Arial" w:hAnsi="Arial" w:cs="Arial"/>
          <w:sz w:val="22"/>
          <w:szCs w:val="22"/>
        </w:rPr>
        <w:t>Tch</w:t>
      </w:r>
      <w:r w:rsidR="00807047">
        <w:rPr>
          <w:rFonts w:ascii="Arial" w:hAnsi="Arial" w:cs="Arial"/>
          <w:sz w:val="22"/>
          <w:szCs w:val="22"/>
        </w:rPr>
        <w:t>etgen</w:t>
      </w:r>
      <w:proofErr w:type="spellEnd"/>
      <w:r w:rsidR="00807047">
        <w:rPr>
          <w:rFonts w:ascii="Arial" w:hAnsi="Arial" w:cs="Arial"/>
          <w:sz w:val="22"/>
          <w:szCs w:val="22"/>
        </w:rPr>
        <w:t xml:space="preserve"> </w:t>
      </w:r>
      <w:proofErr w:type="spellStart"/>
      <w:r w:rsidR="00807047">
        <w:rPr>
          <w:rFonts w:ascii="Arial" w:hAnsi="Arial" w:cs="Arial"/>
          <w:sz w:val="22"/>
          <w:szCs w:val="22"/>
        </w:rPr>
        <w:t>Tchetgen</w:t>
      </w:r>
      <w:proofErr w:type="spellEnd"/>
      <w:r w:rsidR="00807047">
        <w:rPr>
          <w:rFonts w:ascii="Arial" w:hAnsi="Arial" w:cs="Arial"/>
          <w:sz w:val="22"/>
          <w:szCs w:val="22"/>
        </w:rPr>
        <w:t>, and Cohen</w:t>
      </w:r>
      <w:r w:rsidR="00AD621C" w:rsidRPr="00B1197B">
        <w:rPr>
          <w:rFonts w:ascii="Arial" w:hAnsi="Arial" w:cs="Arial"/>
          <w:noProof/>
          <w:sz w:val="22"/>
          <w:szCs w:val="22"/>
          <w:vertAlign w:val="superscript"/>
        </w:rPr>
        <w:t>15</w:t>
      </w:r>
      <w:r w:rsidRPr="00C3106A">
        <w:rPr>
          <w:rFonts w:ascii="Arial" w:hAnsi="Arial" w:cs="Arial"/>
          <w:sz w:val="22"/>
          <w:szCs w:val="22"/>
        </w:rPr>
        <w:t xml:space="preserve"> subsequently </w:t>
      </w:r>
      <w:r w:rsidR="00A15219">
        <w:rPr>
          <w:rFonts w:ascii="Arial" w:hAnsi="Arial" w:cs="Arial"/>
          <w:sz w:val="22"/>
          <w:szCs w:val="22"/>
        </w:rPr>
        <w:t>specified</w:t>
      </w:r>
      <w:r w:rsidRPr="00C3106A">
        <w:rPr>
          <w:rFonts w:ascii="Arial" w:hAnsi="Arial" w:cs="Arial"/>
          <w:sz w:val="22"/>
          <w:szCs w:val="22"/>
        </w:rPr>
        <w:t xml:space="preserve"> a conceptual framework for the use of negati</w:t>
      </w:r>
      <w:r w:rsidR="005E4EA5">
        <w:rPr>
          <w:rFonts w:ascii="Arial" w:hAnsi="Arial" w:cs="Arial"/>
          <w:sz w:val="22"/>
          <w:szCs w:val="22"/>
        </w:rPr>
        <w:t>ve controls conditions</w:t>
      </w:r>
      <w:r>
        <w:rPr>
          <w:rFonts w:ascii="Arial" w:hAnsi="Arial" w:cs="Arial"/>
          <w:sz w:val="22"/>
          <w:szCs w:val="22"/>
        </w:rPr>
        <w:t xml:space="preserve"> in the epidemiologic studies,</w:t>
      </w:r>
      <w:r w:rsidR="00807047">
        <w:rPr>
          <w:rFonts w:ascii="Arial" w:hAnsi="Arial" w:cs="Arial"/>
          <w:sz w:val="22"/>
          <w:szCs w:val="22"/>
        </w:rPr>
        <w:t xml:space="preserve"> using the Jackson </w:t>
      </w:r>
      <w:proofErr w:type="gramStart"/>
      <w:r w:rsidR="00807047" w:rsidRPr="00807047">
        <w:rPr>
          <w:rFonts w:ascii="Arial" w:hAnsi="Arial" w:cs="Arial"/>
          <w:i/>
          <w:sz w:val="22"/>
          <w:szCs w:val="22"/>
        </w:rPr>
        <w:t>et</w:t>
      </w:r>
      <w:proofErr w:type="gramEnd"/>
      <w:r w:rsidR="00807047" w:rsidRPr="00807047">
        <w:rPr>
          <w:rFonts w:ascii="Arial" w:hAnsi="Arial" w:cs="Arial"/>
          <w:i/>
          <w:sz w:val="22"/>
          <w:szCs w:val="22"/>
        </w:rPr>
        <w:t xml:space="preserve"> al.</w:t>
      </w:r>
      <w:r w:rsidR="00AD621C" w:rsidRPr="00B1197B">
        <w:rPr>
          <w:rFonts w:ascii="Arial" w:hAnsi="Arial" w:cs="Arial"/>
          <w:noProof/>
          <w:sz w:val="22"/>
          <w:szCs w:val="22"/>
          <w:vertAlign w:val="superscript"/>
        </w:rPr>
        <w:t>11</w:t>
      </w:r>
      <w:r w:rsidR="00450A3E">
        <w:rPr>
          <w:rFonts w:ascii="Arial" w:hAnsi="Arial" w:cs="Arial"/>
          <w:sz w:val="22"/>
          <w:szCs w:val="22"/>
        </w:rPr>
        <w:t xml:space="preserve"> </w:t>
      </w:r>
      <w:r w:rsidR="005E4EA5">
        <w:rPr>
          <w:rFonts w:ascii="Arial" w:hAnsi="Arial" w:cs="Arial"/>
          <w:sz w:val="22"/>
          <w:szCs w:val="22"/>
        </w:rPr>
        <w:t xml:space="preserve">study </w:t>
      </w:r>
      <w:r w:rsidR="00450A3E">
        <w:rPr>
          <w:rFonts w:ascii="Arial" w:hAnsi="Arial" w:cs="Arial"/>
          <w:sz w:val="22"/>
          <w:szCs w:val="22"/>
        </w:rPr>
        <w:t xml:space="preserve">as </w:t>
      </w:r>
      <w:r w:rsidR="00807047">
        <w:rPr>
          <w:rFonts w:ascii="Arial" w:hAnsi="Arial" w:cs="Arial"/>
          <w:sz w:val="22"/>
          <w:szCs w:val="22"/>
        </w:rPr>
        <w:t>an</w:t>
      </w:r>
      <w:r w:rsidR="00450A3E">
        <w:rPr>
          <w:rFonts w:ascii="Arial" w:hAnsi="Arial" w:cs="Arial"/>
          <w:sz w:val="22"/>
          <w:szCs w:val="22"/>
        </w:rPr>
        <w:t xml:space="preserve"> illustrative example</w:t>
      </w:r>
      <w:r>
        <w:rPr>
          <w:rFonts w:ascii="Arial" w:hAnsi="Arial" w:cs="Arial"/>
          <w:sz w:val="22"/>
          <w:szCs w:val="22"/>
        </w:rPr>
        <w:t>.</w:t>
      </w:r>
    </w:p>
    <w:p w:rsidR="009B0CFF" w:rsidRDefault="002B19D0" w:rsidP="00A04ED5">
      <w:pPr>
        <w:spacing w:after="0" w:line="480" w:lineRule="auto"/>
        <w:ind w:firstLine="720"/>
        <w:rPr>
          <w:rFonts w:ascii="Arial" w:hAnsi="Arial" w:cs="Arial"/>
          <w:sz w:val="22"/>
          <w:szCs w:val="22"/>
        </w:rPr>
      </w:pPr>
      <w:r>
        <w:rPr>
          <w:rFonts w:ascii="Arial" w:hAnsi="Arial" w:cs="Arial"/>
          <w:sz w:val="22"/>
          <w:szCs w:val="22"/>
        </w:rPr>
        <w:lastRenderedPageBreak/>
        <w:t>The current ecologic study estimated</w:t>
      </w:r>
      <w:r w:rsidR="00EE7D72">
        <w:rPr>
          <w:rFonts w:ascii="Arial" w:hAnsi="Arial" w:cs="Arial"/>
          <w:sz w:val="22"/>
          <w:szCs w:val="22"/>
        </w:rPr>
        <w:t xml:space="preserve"> the </w:t>
      </w:r>
      <w:r w:rsidR="004F5BA3">
        <w:rPr>
          <w:rFonts w:ascii="Arial" w:hAnsi="Arial" w:cs="Arial"/>
          <w:sz w:val="22"/>
          <w:szCs w:val="22"/>
        </w:rPr>
        <w:t>effectiveness of a novel school-located influenza vaccination (SLIV) program in Alachua County, F</w:t>
      </w:r>
      <w:r w:rsidR="00876DD7">
        <w:rPr>
          <w:rFonts w:ascii="Arial" w:hAnsi="Arial" w:cs="Arial"/>
          <w:sz w:val="22"/>
          <w:szCs w:val="22"/>
        </w:rPr>
        <w:t>lorida</w:t>
      </w:r>
      <w:r w:rsidR="00567104">
        <w:rPr>
          <w:rFonts w:ascii="Arial" w:hAnsi="Arial" w:cs="Arial"/>
          <w:sz w:val="22"/>
          <w:szCs w:val="22"/>
        </w:rPr>
        <w:t xml:space="preserve">. </w:t>
      </w:r>
      <w:r w:rsidR="00876DD7">
        <w:rPr>
          <w:rFonts w:ascii="Arial" w:hAnsi="Arial" w:cs="Arial"/>
          <w:sz w:val="22"/>
          <w:szCs w:val="22"/>
        </w:rPr>
        <w:t xml:space="preserve">This SLIV has achieved </w:t>
      </w:r>
      <w:r w:rsidR="00E82510">
        <w:rPr>
          <w:rFonts w:ascii="Arial" w:hAnsi="Arial" w:cs="Arial"/>
          <w:sz w:val="22"/>
          <w:szCs w:val="22"/>
        </w:rPr>
        <w:t xml:space="preserve">relatively </w:t>
      </w:r>
      <w:r w:rsidR="00876DD7">
        <w:rPr>
          <w:rFonts w:ascii="Arial" w:hAnsi="Arial" w:cs="Arial"/>
          <w:sz w:val="22"/>
          <w:szCs w:val="22"/>
        </w:rPr>
        <w:t>high influenza vaccination coverage rates among school-age childr</w:t>
      </w:r>
      <w:r>
        <w:rPr>
          <w:rFonts w:ascii="Arial" w:hAnsi="Arial" w:cs="Arial"/>
          <w:sz w:val="22"/>
          <w:szCs w:val="22"/>
        </w:rPr>
        <w:t>en in the county since 2009</w:t>
      </w:r>
      <w:r w:rsidR="00876DD7">
        <w:rPr>
          <w:rFonts w:ascii="Arial" w:hAnsi="Arial" w:cs="Arial"/>
          <w:sz w:val="22"/>
          <w:szCs w:val="22"/>
        </w:rPr>
        <w:t>.</w:t>
      </w:r>
      <w:r w:rsidR="00AD621C" w:rsidRPr="00B1197B">
        <w:rPr>
          <w:rFonts w:ascii="Arial" w:hAnsi="Arial" w:cs="Arial"/>
          <w:noProof/>
          <w:sz w:val="22"/>
          <w:szCs w:val="22"/>
          <w:vertAlign w:val="superscript"/>
        </w:rPr>
        <w:t>16</w:t>
      </w:r>
      <w:r w:rsidR="00876DD7">
        <w:rPr>
          <w:rFonts w:ascii="Arial" w:hAnsi="Arial" w:cs="Arial"/>
          <w:sz w:val="22"/>
          <w:szCs w:val="22"/>
        </w:rPr>
        <w:t xml:space="preserve"> </w:t>
      </w:r>
      <w:r>
        <w:rPr>
          <w:rFonts w:ascii="Arial" w:hAnsi="Arial" w:cs="Arial"/>
          <w:sz w:val="22"/>
          <w:szCs w:val="22"/>
        </w:rPr>
        <w:t>The current</w:t>
      </w:r>
      <w:r w:rsidR="0059630C">
        <w:rPr>
          <w:rFonts w:ascii="Arial" w:hAnsi="Arial" w:cs="Arial"/>
          <w:sz w:val="22"/>
          <w:szCs w:val="22"/>
        </w:rPr>
        <w:t xml:space="preserve"> study estimated the SLIV’s effectiveness </w:t>
      </w:r>
      <w:r w:rsidR="004F5BA3">
        <w:rPr>
          <w:rFonts w:ascii="Arial" w:hAnsi="Arial" w:cs="Arial"/>
          <w:sz w:val="22"/>
          <w:szCs w:val="22"/>
        </w:rPr>
        <w:t>toward reducing the attack rate for outpatient visits to sentinel emergency departments and urgent care facilities where influenza-like illne</w:t>
      </w:r>
      <w:r w:rsidR="000B2CA4">
        <w:rPr>
          <w:rFonts w:ascii="Arial" w:hAnsi="Arial" w:cs="Arial"/>
          <w:sz w:val="22"/>
          <w:szCs w:val="22"/>
        </w:rPr>
        <w:t>ss was the chief complaint (primary outcome: ILI-associated outpatient visits to sentinel facilities)</w:t>
      </w:r>
      <w:r w:rsidR="00567104">
        <w:rPr>
          <w:rFonts w:ascii="Arial" w:hAnsi="Arial" w:cs="Arial"/>
          <w:sz w:val="22"/>
          <w:szCs w:val="22"/>
        </w:rPr>
        <w:t xml:space="preserve">. </w:t>
      </w:r>
      <w:r w:rsidR="0059630C">
        <w:rPr>
          <w:rFonts w:ascii="Arial" w:hAnsi="Arial" w:cs="Arial"/>
          <w:sz w:val="22"/>
          <w:szCs w:val="22"/>
        </w:rPr>
        <w:t>The effective</w:t>
      </w:r>
      <w:r w:rsidR="000B2CA4">
        <w:rPr>
          <w:rFonts w:ascii="Arial" w:hAnsi="Arial" w:cs="Arial"/>
          <w:sz w:val="22"/>
          <w:szCs w:val="22"/>
        </w:rPr>
        <w:t xml:space="preserve">ness of this program at reducing the risk of ILI-associated outpatient visits in the entire community and the effectiveness by </w:t>
      </w:r>
      <w:r w:rsidR="004F5BA3">
        <w:rPr>
          <w:rFonts w:ascii="Arial" w:hAnsi="Arial" w:cs="Arial"/>
          <w:sz w:val="22"/>
          <w:szCs w:val="22"/>
        </w:rPr>
        <w:t>age-group</w:t>
      </w:r>
      <w:r w:rsidR="000B2CA4">
        <w:rPr>
          <w:rFonts w:ascii="Arial" w:hAnsi="Arial" w:cs="Arial"/>
          <w:sz w:val="22"/>
          <w:szCs w:val="22"/>
        </w:rPr>
        <w:t xml:space="preserve"> are estimated for </w:t>
      </w:r>
      <w:r w:rsidR="0059630C">
        <w:rPr>
          <w:rFonts w:ascii="Arial" w:hAnsi="Arial" w:cs="Arial"/>
          <w:sz w:val="22"/>
          <w:szCs w:val="22"/>
        </w:rPr>
        <w:t>Alachua County</w:t>
      </w:r>
      <w:r w:rsidR="004F5BA3">
        <w:rPr>
          <w:rFonts w:ascii="Arial" w:hAnsi="Arial" w:cs="Arial"/>
          <w:sz w:val="22"/>
          <w:szCs w:val="22"/>
        </w:rPr>
        <w:t xml:space="preserve"> relative to two comparison areas: the 12 surrounding counties (Region 3) and </w:t>
      </w:r>
      <w:r w:rsidR="0059630C">
        <w:rPr>
          <w:rFonts w:ascii="Arial" w:hAnsi="Arial" w:cs="Arial"/>
          <w:sz w:val="22"/>
          <w:szCs w:val="22"/>
        </w:rPr>
        <w:t>all non-Alachua counties of Florida (Florida)</w:t>
      </w:r>
      <w:r w:rsidR="00567104">
        <w:rPr>
          <w:rFonts w:ascii="Arial" w:hAnsi="Arial" w:cs="Arial"/>
          <w:sz w:val="22"/>
          <w:szCs w:val="22"/>
        </w:rPr>
        <w:t xml:space="preserve">. </w:t>
      </w:r>
      <w:r w:rsidR="0059630C">
        <w:rPr>
          <w:rFonts w:ascii="Arial" w:hAnsi="Arial" w:cs="Arial"/>
          <w:sz w:val="22"/>
          <w:szCs w:val="22"/>
        </w:rPr>
        <w:t>The SLIV program’s effectiveness was high among children under-18 years-old and decreased steadily with increasing age</w:t>
      </w:r>
      <w:r w:rsidR="00567104">
        <w:rPr>
          <w:rFonts w:ascii="Arial" w:hAnsi="Arial" w:cs="Arial"/>
          <w:sz w:val="22"/>
          <w:szCs w:val="22"/>
        </w:rPr>
        <w:t xml:space="preserve">. </w:t>
      </w:r>
    </w:p>
    <w:p w:rsidR="00980FDC" w:rsidRDefault="009B0CFF" w:rsidP="00A04ED5">
      <w:pPr>
        <w:spacing w:after="0" w:line="480" w:lineRule="auto"/>
        <w:ind w:firstLine="720"/>
        <w:rPr>
          <w:rFonts w:ascii="Arial" w:hAnsi="Arial" w:cs="Arial"/>
          <w:sz w:val="22"/>
          <w:szCs w:val="22"/>
        </w:rPr>
      </w:pPr>
      <w:r>
        <w:rPr>
          <w:rFonts w:ascii="Arial" w:hAnsi="Arial" w:cs="Arial"/>
          <w:sz w:val="22"/>
          <w:szCs w:val="22"/>
        </w:rPr>
        <w:t>Through a sensitivity analysis, t</w:t>
      </w:r>
      <w:r w:rsidR="0033649B">
        <w:rPr>
          <w:rFonts w:ascii="Arial" w:hAnsi="Arial" w:cs="Arial"/>
          <w:sz w:val="22"/>
          <w:szCs w:val="22"/>
        </w:rPr>
        <w:t>h</w:t>
      </w:r>
      <w:r w:rsidR="00EE7D72">
        <w:rPr>
          <w:rFonts w:ascii="Arial" w:hAnsi="Arial" w:cs="Arial"/>
          <w:sz w:val="22"/>
          <w:szCs w:val="22"/>
        </w:rPr>
        <w:t>is supplementary appendix</w:t>
      </w:r>
      <w:r w:rsidR="00876DD7">
        <w:rPr>
          <w:rFonts w:ascii="Arial" w:hAnsi="Arial" w:cs="Arial"/>
          <w:sz w:val="22"/>
          <w:szCs w:val="22"/>
        </w:rPr>
        <w:t xml:space="preserve"> explores and accounts for potential </w:t>
      </w:r>
      <w:r w:rsidR="005A067D">
        <w:rPr>
          <w:rFonts w:ascii="Arial" w:hAnsi="Arial" w:cs="Arial"/>
          <w:sz w:val="22"/>
          <w:szCs w:val="22"/>
        </w:rPr>
        <w:t xml:space="preserve">ascertainment </w:t>
      </w:r>
      <w:r w:rsidR="00876DD7">
        <w:rPr>
          <w:rFonts w:ascii="Arial" w:hAnsi="Arial" w:cs="Arial"/>
          <w:sz w:val="22"/>
          <w:szCs w:val="22"/>
        </w:rPr>
        <w:t xml:space="preserve">bias </w:t>
      </w:r>
      <w:r w:rsidR="0033649B">
        <w:rPr>
          <w:rFonts w:ascii="Arial" w:hAnsi="Arial" w:cs="Arial"/>
          <w:sz w:val="22"/>
          <w:szCs w:val="22"/>
        </w:rPr>
        <w:t xml:space="preserve">in the unadjusted </w:t>
      </w:r>
      <w:r w:rsidR="00876DD7">
        <w:rPr>
          <w:rFonts w:ascii="Arial" w:hAnsi="Arial" w:cs="Arial"/>
          <w:sz w:val="22"/>
          <w:szCs w:val="22"/>
        </w:rPr>
        <w:t>e</w:t>
      </w:r>
      <w:r w:rsidR="0084372A">
        <w:rPr>
          <w:rFonts w:ascii="Arial" w:hAnsi="Arial" w:cs="Arial"/>
          <w:sz w:val="22"/>
          <w:szCs w:val="22"/>
        </w:rPr>
        <w:t>stimates of</w:t>
      </w:r>
      <w:r w:rsidR="00876DD7">
        <w:rPr>
          <w:rFonts w:ascii="Arial" w:hAnsi="Arial" w:cs="Arial"/>
          <w:sz w:val="22"/>
          <w:szCs w:val="22"/>
        </w:rPr>
        <w:t xml:space="preserve"> the effectiveness of the Alachua County SLIV program</w:t>
      </w:r>
      <w:r w:rsidR="0084372A">
        <w:rPr>
          <w:rFonts w:ascii="Arial" w:hAnsi="Arial" w:cs="Arial"/>
          <w:sz w:val="22"/>
          <w:szCs w:val="22"/>
        </w:rPr>
        <w:t xml:space="preserve"> that are presented in the main manuscript</w:t>
      </w:r>
      <w:r w:rsidR="00567104">
        <w:rPr>
          <w:rFonts w:ascii="Arial" w:hAnsi="Arial" w:cs="Arial"/>
          <w:sz w:val="22"/>
          <w:szCs w:val="22"/>
        </w:rPr>
        <w:t xml:space="preserve">. </w:t>
      </w:r>
      <w:r w:rsidR="005A067D" w:rsidRPr="00C3106A">
        <w:rPr>
          <w:rFonts w:ascii="Arial" w:hAnsi="Arial" w:cs="Arial"/>
          <w:sz w:val="22"/>
          <w:szCs w:val="22"/>
        </w:rPr>
        <w:t>Differential ascertainment of ILI cases between the surveillance sites in Alachua and the comparison areas (R</w:t>
      </w:r>
      <w:r w:rsidR="005A067D">
        <w:rPr>
          <w:rFonts w:ascii="Arial" w:hAnsi="Arial" w:cs="Arial"/>
          <w:sz w:val="22"/>
          <w:szCs w:val="22"/>
        </w:rPr>
        <w:t xml:space="preserve">egion 3 and rest of Florida) is </w:t>
      </w:r>
      <w:r w:rsidR="005A067D" w:rsidRPr="00C3106A">
        <w:rPr>
          <w:rFonts w:ascii="Arial" w:hAnsi="Arial" w:cs="Arial"/>
          <w:sz w:val="22"/>
          <w:szCs w:val="22"/>
        </w:rPr>
        <w:t xml:space="preserve">thought to </w:t>
      </w:r>
      <w:r w:rsidR="005A067D">
        <w:rPr>
          <w:rFonts w:ascii="Arial" w:hAnsi="Arial" w:cs="Arial"/>
          <w:sz w:val="22"/>
          <w:szCs w:val="22"/>
        </w:rPr>
        <w:t>be a significant</w:t>
      </w:r>
      <w:r w:rsidR="005A067D" w:rsidRPr="00C3106A">
        <w:rPr>
          <w:rFonts w:ascii="Arial" w:hAnsi="Arial" w:cs="Arial"/>
          <w:sz w:val="22"/>
          <w:szCs w:val="22"/>
        </w:rPr>
        <w:t xml:space="preserve"> source</w:t>
      </w:r>
      <w:r w:rsidR="005A067D">
        <w:rPr>
          <w:rFonts w:ascii="Arial" w:hAnsi="Arial" w:cs="Arial"/>
          <w:sz w:val="22"/>
          <w:szCs w:val="22"/>
        </w:rPr>
        <w:t xml:space="preserve"> of potential ascertainment bias in the unadjusted estimates of the SLIV program’s effectiveness</w:t>
      </w:r>
      <w:r w:rsidR="00567104">
        <w:rPr>
          <w:rFonts w:ascii="Arial" w:hAnsi="Arial" w:cs="Arial"/>
          <w:sz w:val="22"/>
          <w:szCs w:val="22"/>
        </w:rPr>
        <w:t xml:space="preserve">. </w:t>
      </w:r>
      <w:r w:rsidR="005A067D">
        <w:rPr>
          <w:rFonts w:ascii="Arial" w:hAnsi="Arial" w:cs="Arial"/>
          <w:sz w:val="22"/>
          <w:szCs w:val="22"/>
        </w:rPr>
        <w:t>Unfortunately, i</w:t>
      </w:r>
      <w:r w:rsidR="005A067D" w:rsidRPr="00C3106A">
        <w:rPr>
          <w:rFonts w:ascii="Arial" w:hAnsi="Arial" w:cs="Arial"/>
          <w:sz w:val="22"/>
          <w:szCs w:val="22"/>
        </w:rPr>
        <w:t>nsuffic</w:t>
      </w:r>
      <w:r w:rsidR="005A067D">
        <w:rPr>
          <w:rFonts w:ascii="Arial" w:hAnsi="Arial" w:cs="Arial"/>
          <w:sz w:val="22"/>
          <w:szCs w:val="22"/>
        </w:rPr>
        <w:t>ient information was</w:t>
      </w:r>
      <w:r w:rsidR="005A067D" w:rsidRPr="00C3106A">
        <w:rPr>
          <w:rFonts w:ascii="Arial" w:hAnsi="Arial" w:cs="Arial"/>
          <w:sz w:val="22"/>
          <w:szCs w:val="22"/>
        </w:rPr>
        <w:t xml:space="preserve"> available to</w:t>
      </w:r>
      <w:r w:rsidR="005A067D">
        <w:rPr>
          <w:rFonts w:ascii="Arial" w:hAnsi="Arial" w:cs="Arial"/>
          <w:sz w:val="22"/>
          <w:szCs w:val="22"/>
        </w:rPr>
        <w:t xml:space="preserve"> explicitly</w:t>
      </w:r>
      <w:r w:rsidR="005A067D" w:rsidRPr="00C3106A">
        <w:rPr>
          <w:rFonts w:ascii="Arial" w:hAnsi="Arial" w:cs="Arial"/>
          <w:sz w:val="22"/>
          <w:szCs w:val="22"/>
        </w:rPr>
        <w:t xml:space="preserve"> characterize the</w:t>
      </w:r>
      <w:r w:rsidR="005A067D">
        <w:rPr>
          <w:rFonts w:ascii="Arial" w:hAnsi="Arial" w:cs="Arial"/>
          <w:sz w:val="22"/>
          <w:szCs w:val="22"/>
        </w:rPr>
        <w:t xml:space="preserve"> set of processes</w:t>
      </w:r>
      <w:r w:rsidR="005A067D" w:rsidRPr="00C3106A">
        <w:rPr>
          <w:rFonts w:ascii="Arial" w:hAnsi="Arial" w:cs="Arial"/>
          <w:sz w:val="22"/>
          <w:szCs w:val="22"/>
        </w:rPr>
        <w:t xml:space="preserve"> leading to t</w:t>
      </w:r>
      <w:r w:rsidR="005A067D">
        <w:rPr>
          <w:rFonts w:ascii="Arial" w:hAnsi="Arial" w:cs="Arial"/>
          <w:sz w:val="22"/>
          <w:szCs w:val="22"/>
        </w:rPr>
        <w:t>he ascertainment of a case</w:t>
      </w:r>
      <w:r w:rsidR="00567104">
        <w:rPr>
          <w:rFonts w:ascii="Arial" w:hAnsi="Arial" w:cs="Arial"/>
          <w:sz w:val="22"/>
          <w:szCs w:val="22"/>
        </w:rPr>
        <w:t xml:space="preserve">. </w:t>
      </w:r>
      <w:r w:rsidR="005A067D">
        <w:rPr>
          <w:rFonts w:ascii="Arial" w:hAnsi="Arial" w:cs="Arial"/>
          <w:sz w:val="22"/>
          <w:szCs w:val="22"/>
        </w:rPr>
        <w:t>Therefore, t</w:t>
      </w:r>
      <w:r>
        <w:rPr>
          <w:rFonts w:ascii="Arial" w:hAnsi="Arial" w:cs="Arial"/>
          <w:sz w:val="22"/>
          <w:szCs w:val="22"/>
        </w:rPr>
        <w:t>he following additional information collected by the same sentinel surveillance system are used to</w:t>
      </w:r>
      <w:r w:rsidR="00980FDC">
        <w:rPr>
          <w:rFonts w:ascii="Arial" w:hAnsi="Arial" w:cs="Arial"/>
          <w:sz w:val="22"/>
          <w:szCs w:val="22"/>
        </w:rPr>
        <w:t xml:space="preserve"> explore and account for </w:t>
      </w:r>
      <w:r w:rsidR="00980FDC" w:rsidRPr="00C3106A">
        <w:rPr>
          <w:rFonts w:ascii="Arial" w:hAnsi="Arial" w:cs="Arial"/>
          <w:sz w:val="22"/>
          <w:szCs w:val="22"/>
        </w:rPr>
        <w:t xml:space="preserve">potential </w:t>
      </w:r>
      <w:r w:rsidR="00980FDC">
        <w:rPr>
          <w:rFonts w:ascii="Arial" w:hAnsi="Arial" w:cs="Arial"/>
          <w:sz w:val="22"/>
          <w:szCs w:val="22"/>
        </w:rPr>
        <w:t xml:space="preserve">ascertainment </w:t>
      </w:r>
      <w:r w:rsidR="00980FDC" w:rsidRPr="00C3106A">
        <w:rPr>
          <w:rFonts w:ascii="Arial" w:hAnsi="Arial" w:cs="Arial"/>
          <w:sz w:val="22"/>
          <w:szCs w:val="22"/>
        </w:rPr>
        <w:t>bias</w:t>
      </w:r>
      <w:r w:rsidR="00980FDC">
        <w:rPr>
          <w:rFonts w:ascii="Arial" w:hAnsi="Arial" w:cs="Arial"/>
          <w:sz w:val="22"/>
          <w:szCs w:val="22"/>
        </w:rPr>
        <w:t xml:space="preserve">: </w:t>
      </w:r>
      <w:r w:rsidR="003E64D8">
        <w:rPr>
          <w:rFonts w:ascii="Arial" w:hAnsi="Arial" w:cs="Arial"/>
          <w:sz w:val="22"/>
          <w:szCs w:val="22"/>
        </w:rPr>
        <w:t xml:space="preserve">the </w:t>
      </w:r>
      <w:r w:rsidR="00980FDC">
        <w:rPr>
          <w:rFonts w:ascii="Arial" w:hAnsi="Arial" w:cs="Arial"/>
          <w:sz w:val="22"/>
          <w:szCs w:val="22"/>
        </w:rPr>
        <w:t xml:space="preserve">weekly rate for all </w:t>
      </w:r>
      <w:r w:rsidR="003E64D8">
        <w:rPr>
          <w:rFonts w:ascii="Arial" w:hAnsi="Arial" w:cs="Arial"/>
          <w:sz w:val="22"/>
          <w:szCs w:val="22"/>
        </w:rPr>
        <w:t>outpatient visits to sentinel providers</w:t>
      </w:r>
      <w:r w:rsidR="005E4EA5">
        <w:rPr>
          <w:rFonts w:ascii="Arial" w:hAnsi="Arial" w:cs="Arial"/>
          <w:sz w:val="22"/>
          <w:szCs w:val="22"/>
        </w:rPr>
        <w:t xml:space="preserve"> and</w:t>
      </w:r>
      <w:r>
        <w:rPr>
          <w:rFonts w:ascii="Arial" w:hAnsi="Arial" w:cs="Arial"/>
          <w:sz w:val="22"/>
          <w:szCs w:val="22"/>
        </w:rPr>
        <w:t xml:space="preserve"> the </w:t>
      </w:r>
      <w:r w:rsidR="00980FDC">
        <w:rPr>
          <w:rFonts w:ascii="Arial" w:hAnsi="Arial" w:cs="Arial"/>
          <w:sz w:val="22"/>
          <w:szCs w:val="22"/>
        </w:rPr>
        <w:t xml:space="preserve">attack rates for </w:t>
      </w:r>
      <w:r>
        <w:rPr>
          <w:rFonts w:ascii="Arial" w:hAnsi="Arial" w:cs="Arial"/>
          <w:sz w:val="22"/>
          <w:szCs w:val="22"/>
        </w:rPr>
        <w:t>outpatient visits associated with</w:t>
      </w:r>
      <w:r w:rsidR="00980FDC">
        <w:rPr>
          <w:rFonts w:ascii="Arial" w:hAnsi="Arial" w:cs="Arial"/>
          <w:sz w:val="22"/>
          <w:szCs w:val="22"/>
        </w:rPr>
        <w:t xml:space="preserve"> each of</w:t>
      </w:r>
      <w:r>
        <w:rPr>
          <w:rFonts w:ascii="Arial" w:hAnsi="Arial" w:cs="Arial"/>
          <w:sz w:val="22"/>
          <w:szCs w:val="22"/>
        </w:rPr>
        <w:t xml:space="preserve"> </w:t>
      </w:r>
      <w:r w:rsidR="00980FDC">
        <w:rPr>
          <w:rFonts w:ascii="Arial" w:hAnsi="Arial" w:cs="Arial"/>
          <w:sz w:val="22"/>
          <w:szCs w:val="22"/>
        </w:rPr>
        <w:t xml:space="preserve">three </w:t>
      </w:r>
      <w:r>
        <w:rPr>
          <w:rFonts w:ascii="Arial" w:hAnsi="Arial" w:cs="Arial"/>
          <w:sz w:val="22"/>
          <w:szCs w:val="22"/>
        </w:rPr>
        <w:t xml:space="preserve">negative control outcomes during </w:t>
      </w:r>
      <w:r w:rsidR="00980FDC">
        <w:rPr>
          <w:rFonts w:ascii="Arial" w:hAnsi="Arial" w:cs="Arial"/>
          <w:sz w:val="22"/>
          <w:szCs w:val="22"/>
        </w:rPr>
        <w:t>the epidemic periods</w:t>
      </w:r>
      <w:r w:rsidR="00567104">
        <w:rPr>
          <w:rFonts w:ascii="Arial" w:hAnsi="Arial" w:cs="Arial"/>
          <w:sz w:val="22"/>
          <w:szCs w:val="22"/>
        </w:rPr>
        <w:t xml:space="preserve">. </w:t>
      </w:r>
    </w:p>
    <w:p w:rsidR="00D925CB" w:rsidRPr="00D925CB" w:rsidRDefault="00C04513" w:rsidP="002C43E4">
      <w:pPr>
        <w:spacing w:after="0" w:line="480" w:lineRule="auto"/>
        <w:rPr>
          <w:rFonts w:ascii="Arial" w:hAnsi="Arial" w:cs="Arial"/>
          <w:b/>
          <w:sz w:val="22"/>
          <w:szCs w:val="22"/>
        </w:rPr>
      </w:pPr>
      <w:r>
        <w:rPr>
          <w:rFonts w:ascii="Arial" w:hAnsi="Arial" w:cs="Arial"/>
          <w:b/>
          <w:sz w:val="22"/>
          <w:szCs w:val="22"/>
        </w:rPr>
        <w:t xml:space="preserve">A.1. </w:t>
      </w:r>
      <w:r w:rsidR="00557CC5">
        <w:rPr>
          <w:rFonts w:ascii="Arial" w:hAnsi="Arial" w:cs="Arial"/>
          <w:b/>
          <w:sz w:val="22"/>
          <w:szCs w:val="22"/>
        </w:rPr>
        <w:t>Methods</w:t>
      </w:r>
    </w:p>
    <w:p w:rsidR="00552F2E" w:rsidRPr="00D925CB" w:rsidRDefault="00985F0F" w:rsidP="00A04ED5">
      <w:pPr>
        <w:spacing w:after="0" w:line="480" w:lineRule="auto"/>
        <w:rPr>
          <w:rFonts w:ascii="Arial" w:hAnsi="Arial" w:cs="Arial"/>
          <w:sz w:val="22"/>
          <w:szCs w:val="22"/>
        </w:rPr>
      </w:pPr>
      <w:r>
        <w:rPr>
          <w:rFonts w:ascii="Arial" w:hAnsi="Arial" w:cs="Arial"/>
          <w:b/>
          <w:sz w:val="22"/>
          <w:szCs w:val="22"/>
        </w:rPr>
        <w:t xml:space="preserve">Primary and </w:t>
      </w:r>
      <w:r w:rsidR="00751C1A">
        <w:rPr>
          <w:rFonts w:ascii="Arial" w:hAnsi="Arial" w:cs="Arial"/>
          <w:b/>
          <w:sz w:val="22"/>
          <w:szCs w:val="22"/>
        </w:rPr>
        <w:t>negative c</w:t>
      </w:r>
      <w:r w:rsidR="002C220E" w:rsidRPr="00E05910">
        <w:rPr>
          <w:rFonts w:ascii="Arial" w:hAnsi="Arial" w:cs="Arial"/>
          <w:b/>
          <w:sz w:val="22"/>
          <w:szCs w:val="22"/>
        </w:rPr>
        <w:t xml:space="preserve">ontrol </w:t>
      </w:r>
      <w:r w:rsidR="00751C1A">
        <w:rPr>
          <w:rFonts w:ascii="Arial" w:hAnsi="Arial" w:cs="Arial"/>
          <w:b/>
          <w:sz w:val="22"/>
          <w:szCs w:val="22"/>
        </w:rPr>
        <w:t>o</w:t>
      </w:r>
      <w:r w:rsidR="002C220E" w:rsidRPr="00E05910">
        <w:rPr>
          <w:rFonts w:ascii="Arial" w:hAnsi="Arial" w:cs="Arial"/>
          <w:b/>
          <w:sz w:val="22"/>
          <w:szCs w:val="22"/>
        </w:rPr>
        <w:t>utcomes</w:t>
      </w:r>
      <w:r w:rsidR="00E05910">
        <w:rPr>
          <w:rFonts w:ascii="Arial" w:hAnsi="Arial" w:cs="Arial"/>
          <w:b/>
          <w:sz w:val="22"/>
          <w:szCs w:val="22"/>
        </w:rPr>
        <w:t>.</w:t>
      </w:r>
      <w:r w:rsidR="00E05910" w:rsidRPr="00E05910">
        <w:rPr>
          <w:rFonts w:ascii="Arial" w:hAnsi="Arial" w:cs="Arial"/>
          <w:sz w:val="22"/>
          <w:szCs w:val="22"/>
        </w:rPr>
        <w:t xml:space="preserve"> </w:t>
      </w:r>
      <w:r w:rsidR="00552F2E" w:rsidRPr="00D925CB">
        <w:rPr>
          <w:rFonts w:ascii="Arial" w:hAnsi="Arial" w:cs="Arial"/>
          <w:sz w:val="22"/>
          <w:szCs w:val="22"/>
        </w:rPr>
        <w:t xml:space="preserve">Negative control outcomes collected </w:t>
      </w:r>
      <w:r w:rsidR="00DE1509">
        <w:rPr>
          <w:rFonts w:ascii="Arial" w:hAnsi="Arial" w:cs="Arial"/>
          <w:sz w:val="22"/>
          <w:szCs w:val="22"/>
        </w:rPr>
        <w:t xml:space="preserve">during the epidemic season </w:t>
      </w:r>
      <w:r w:rsidR="00552F2E" w:rsidRPr="00D925CB">
        <w:rPr>
          <w:rFonts w:ascii="Arial" w:hAnsi="Arial" w:cs="Arial"/>
          <w:sz w:val="22"/>
          <w:szCs w:val="22"/>
        </w:rPr>
        <w:t>provide a means of investigating potential bias due to time-dependent differential ascertainment</w:t>
      </w:r>
      <w:r w:rsidR="00567104">
        <w:rPr>
          <w:rFonts w:ascii="Arial" w:hAnsi="Arial" w:cs="Arial"/>
          <w:sz w:val="22"/>
          <w:szCs w:val="22"/>
        </w:rPr>
        <w:t xml:space="preserve">. </w:t>
      </w:r>
      <w:r w:rsidR="00552F2E" w:rsidRPr="00D925CB">
        <w:rPr>
          <w:rFonts w:ascii="Arial" w:hAnsi="Arial" w:cs="Arial"/>
          <w:sz w:val="22"/>
          <w:szCs w:val="22"/>
        </w:rPr>
        <w:t xml:space="preserve">The ideal negative control outcome would have the same probability </w:t>
      </w:r>
      <w:r w:rsidR="00552F2E" w:rsidRPr="00D925CB">
        <w:rPr>
          <w:rFonts w:ascii="Arial" w:hAnsi="Arial" w:cs="Arial"/>
          <w:sz w:val="22"/>
          <w:szCs w:val="22"/>
        </w:rPr>
        <w:lastRenderedPageBreak/>
        <w:t xml:space="preserve">of being detected by the surveillance </w:t>
      </w:r>
      <w:r w:rsidR="005B6FFD">
        <w:rPr>
          <w:rFonts w:ascii="Arial" w:hAnsi="Arial" w:cs="Arial"/>
          <w:sz w:val="22"/>
          <w:szCs w:val="22"/>
        </w:rPr>
        <w:t>system during the epidemic period</w:t>
      </w:r>
      <w:r w:rsidR="00552F2E" w:rsidRPr="00D925CB">
        <w:rPr>
          <w:rFonts w:ascii="Arial" w:hAnsi="Arial" w:cs="Arial"/>
          <w:sz w:val="22"/>
          <w:szCs w:val="22"/>
        </w:rPr>
        <w:t xml:space="preserve"> (</w:t>
      </w:r>
      <w:r w:rsidR="00552F2E" w:rsidRPr="00D925CB">
        <w:rPr>
          <w:rFonts w:ascii="Arial" w:hAnsi="Arial" w:cs="Arial"/>
          <w:i/>
          <w:sz w:val="22"/>
          <w:szCs w:val="22"/>
        </w:rPr>
        <w:t>i.e.</w:t>
      </w:r>
      <w:r w:rsidR="00552F2E" w:rsidRPr="00D925CB">
        <w:rPr>
          <w:rFonts w:ascii="Arial" w:hAnsi="Arial" w:cs="Arial"/>
          <w:sz w:val="22"/>
          <w:szCs w:val="22"/>
        </w:rPr>
        <w:t>, identical propensity for seeking healthcare at a sentinel facility and the same probability of being correctly identified in the electronic reporting system), but would not be associated with the exposure or a cause of the prima</w:t>
      </w:r>
      <w:r w:rsidR="00A634F8">
        <w:rPr>
          <w:rFonts w:ascii="Arial" w:hAnsi="Arial" w:cs="Arial"/>
          <w:sz w:val="22"/>
          <w:szCs w:val="22"/>
        </w:rPr>
        <w:t>ry outcome</w:t>
      </w:r>
      <w:r w:rsidR="00552F2E" w:rsidRPr="00D925CB">
        <w:rPr>
          <w:rFonts w:ascii="Arial" w:hAnsi="Arial" w:cs="Arial"/>
          <w:sz w:val="22"/>
          <w:szCs w:val="22"/>
        </w:rPr>
        <w:t>.</w:t>
      </w:r>
      <w:r w:rsidR="00AD621C" w:rsidRPr="00B1197B">
        <w:rPr>
          <w:rFonts w:ascii="Arial" w:hAnsi="Arial" w:cs="Arial"/>
          <w:noProof/>
          <w:sz w:val="22"/>
          <w:szCs w:val="22"/>
          <w:vertAlign w:val="superscript"/>
        </w:rPr>
        <w:t>15</w:t>
      </w:r>
    </w:p>
    <w:p w:rsidR="00552F2E" w:rsidRPr="00D925CB" w:rsidRDefault="00552F2E" w:rsidP="00A04ED5">
      <w:pPr>
        <w:spacing w:after="0" w:line="480" w:lineRule="auto"/>
        <w:rPr>
          <w:rFonts w:ascii="Arial" w:hAnsi="Arial" w:cs="Arial"/>
          <w:sz w:val="22"/>
          <w:szCs w:val="22"/>
        </w:rPr>
      </w:pPr>
      <w:r w:rsidRPr="00D925CB">
        <w:rPr>
          <w:rFonts w:ascii="Arial" w:hAnsi="Arial" w:cs="Arial"/>
          <w:sz w:val="22"/>
          <w:szCs w:val="22"/>
        </w:rPr>
        <w:tab/>
        <w:t>Three control conditions are c</w:t>
      </w:r>
      <w:r w:rsidR="00450A3E">
        <w:rPr>
          <w:rFonts w:ascii="Arial" w:hAnsi="Arial" w:cs="Arial"/>
          <w:sz w:val="22"/>
          <w:szCs w:val="22"/>
        </w:rPr>
        <w:t>onsidered for the current study</w:t>
      </w:r>
      <w:r w:rsidR="00567104">
        <w:rPr>
          <w:rFonts w:ascii="Arial" w:hAnsi="Arial" w:cs="Arial"/>
          <w:sz w:val="22"/>
          <w:szCs w:val="22"/>
        </w:rPr>
        <w:t xml:space="preserve">. </w:t>
      </w:r>
      <w:r w:rsidRPr="00D925CB">
        <w:rPr>
          <w:rFonts w:ascii="Arial" w:hAnsi="Arial" w:cs="Arial"/>
          <w:sz w:val="22"/>
          <w:szCs w:val="22"/>
        </w:rPr>
        <w:t>All three conditions are captured in the same manner</w:t>
      </w:r>
      <w:r w:rsidR="00450A3E">
        <w:rPr>
          <w:rFonts w:ascii="Arial" w:hAnsi="Arial" w:cs="Arial"/>
          <w:sz w:val="22"/>
          <w:szCs w:val="22"/>
        </w:rPr>
        <w:t xml:space="preserve"> as ILI</w:t>
      </w:r>
      <w:r w:rsidRPr="00D925CB">
        <w:rPr>
          <w:rFonts w:ascii="Arial" w:hAnsi="Arial" w:cs="Arial"/>
          <w:sz w:val="22"/>
          <w:szCs w:val="22"/>
        </w:rPr>
        <w:t xml:space="preserve"> by the same </w:t>
      </w:r>
      <w:r w:rsidR="00DE1509">
        <w:rPr>
          <w:rFonts w:ascii="Arial" w:hAnsi="Arial" w:cs="Arial"/>
          <w:sz w:val="22"/>
          <w:szCs w:val="22"/>
        </w:rPr>
        <w:t xml:space="preserve">ESSENCE </w:t>
      </w:r>
      <w:r w:rsidRPr="00D925CB">
        <w:rPr>
          <w:rFonts w:ascii="Arial" w:hAnsi="Arial" w:cs="Arial"/>
          <w:sz w:val="22"/>
          <w:szCs w:val="22"/>
        </w:rPr>
        <w:t>surveillance system</w:t>
      </w:r>
      <w:r w:rsidR="00567104">
        <w:rPr>
          <w:rFonts w:ascii="Arial" w:hAnsi="Arial" w:cs="Arial"/>
          <w:sz w:val="22"/>
          <w:szCs w:val="22"/>
        </w:rPr>
        <w:t xml:space="preserve">. </w:t>
      </w:r>
      <w:r w:rsidR="0007774B">
        <w:rPr>
          <w:rFonts w:ascii="Arial" w:hAnsi="Arial" w:cs="Arial"/>
          <w:sz w:val="22"/>
          <w:szCs w:val="22"/>
        </w:rPr>
        <w:t>See Supplementary Appendix B for the surveillance case definitions for the primary and negative control outcomes.</w:t>
      </w:r>
      <w:r w:rsidRPr="00D925CB">
        <w:rPr>
          <w:rFonts w:ascii="Arial" w:hAnsi="Arial" w:cs="Arial"/>
          <w:sz w:val="22"/>
          <w:szCs w:val="22"/>
        </w:rPr>
        <w:t xml:space="preserve"> Outpatient visits to sentinel facilities for gastrointestinal complaints and other respiratory diseases (negative c</w:t>
      </w:r>
      <w:r w:rsidR="00DE1509">
        <w:rPr>
          <w:rFonts w:ascii="Arial" w:hAnsi="Arial" w:cs="Arial"/>
          <w:sz w:val="22"/>
          <w:szCs w:val="22"/>
        </w:rPr>
        <w:t>ontrol conditions 1 and 2) are expected</w:t>
      </w:r>
      <w:r w:rsidRPr="00D925CB">
        <w:rPr>
          <w:rFonts w:ascii="Arial" w:hAnsi="Arial" w:cs="Arial"/>
          <w:sz w:val="22"/>
          <w:szCs w:val="22"/>
        </w:rPr>
        <w:t xml:space="preserve"> </w:t>
      </w:r>
      <w:r w:rsidR="00DE1509">
        <w:rPr>
          <w:rFonts w:ascii="Arial" w:hAnsi="Arial" w:cs="Arial"/>
          <w:sz w:val="22"/>
          <w:szCs w:val="22"/>
        </w:rPr>
        <w:t xml:space="preserve">to </w:t>
      </w:r>
      <w:r w:rsidRPr="00D925CB">
        <w:rPr>
          <w:rFonts w:ascii="Arial" w:hAnsi="Arial" w:cs="Arial"/>
          <w:sz w:val="22"/>
          <w:szCs w:val="22"/>
        </w:rPr>
        <w:t>be fairly compatible to ILI with regard to the probability of being detected</w:t>
      </w:r>
      <w:r w:rsidR="00567104">
        <w:rPr>
          <w:rFonts w:ascii="Arial" w:hAnsi="Arial" w:cs="Arial"/>
          <w:sz w:val="22"/>
          <w:szCs w:val="22"/>
        </w:rPr>
        <w:t xml:space="preserve">. </w:t>
      </w:r>
      <w:r w:rsidRPr="00D925CB">
        <w:rPr>
          <w:rFonts w:ascii="Arial" w:hAnsi="Arial" w:cs="Arial"/>
          <w:sz w:val="22"/>
          <w:szCs w:val="22"/>
        </w:rPr>
        <w:t>These two negative control conditions suffer from one</w:t>
      </w:r>
      <w:r w:rsidR="005B6FFD">
        <w:rPr>
          <w:rFonts w:ascii="Arial" w:hAnsi="Arial" w:cs="Arial"/>
          <w:sz w:val="22"/>
          <w:szCs w:val="22"/>
        </w:rPr>
        <w:t xml:space="preserve"> potential</w:t>
      </w:r>
      <w:r w:rsidRPr="00D925CB">
        <w:rPr>
          <w:rFonts w:ascii="Arial" w:hAnsi="Arial" w:cs="Arial"/>
          <w:sz w:val="22"/>
          <w:szCs w:val="22"/>
        </w:rPr>
        <w:t xml:space="preserve"> drawback; they are likely to be moderately associated in this dataset with the primary exposure (SLIV program) through misclassification of a proportion of true ILI-associated outpatient visits as either of these negative control conditions</w:t>
      </w:r>
      <w:r w:rsidR="00567104">
        <w:rPr>
          <w:rFonts w:ascii="Arial" w:hAnsi="Arial" w:cs="Arial"/>
          <w:sz w:val="22"/>
          <w:szCs w:val="22"/>
        </w:rPr>
        <w:t xml:space="preserve">. </w:t>
      </w:r>
      <w:r w:rsidRPr="00D925CB">
        <w:rPr>
          <w:rFonts w:ascii="Arial" w:hAnsi="Arial" w:cs="Arial"/>
          <w:sz w:val="22"/>
          <w:szCs w:val="22"/>
        </w:rPr>
        <w:t xml:space="preserve">This proposed association between the study exposure and the negative control outcomes 1 and 2 would only exist if the SLIV </w:t>
      </w:r>
      <w:r w:rsidR="00450A3E">
        <w:rPr>
          <w:rFonts w:ascii="Arial" w:hAnsi="Arial" w:cs="Arial"/>
          <w:sz w:val="22"/>
          <w:szCs w:val="22"/>
        </w:rPr>
        <w:t>program</w:t>
      </w:r>
      <w:r w:rsidRPr="00D925CB">
        <w:rPr>
          <w:rFonts w:ascii="Arial" w:hAnsi="Arial" w:cs="Arial"/>
          <w:sz w:val="22"/>
          <w:szCs w:val="22"/>
        </w:rPr>
        <w:t xml:space="preserve"> actually affects the risk of ILI-associated outpatient visits in Alachua County</w:t>
      </w:r>
      <w:r w:rsidR="00567104">
        <w:rPr>
          <w:rFonts w:ascii="Arial" w:hAnsi="Arial" w:cs="Arial"/>
          <w:sz w:val="22"/>
          <w:szCs w:val="22"/>
        </w:rPr>
        <w:t xml:space="preserve">. </w:t>
      </w:r>
      <w:r w:rsidRPr="00D925CB">
        <w:rPr>
          <w:rFonts w:ascii="Arial" w:hAnsi="Arial" w:cs="Arial"/>
          <w:sz w:val="22"/>
          <w:szCs w:val="22"/>
        </w:rPr>
        <w:t>The final negative control outcome, outpatient visits due to a physical injury (negative control outcome 3), is unlikely to be associated with the primary exposure, but may exhibit a different set of causal factors from ILI-associated visits (for example, a higher propensity to seek outpatient care for an injury relative to ILI)</w:t>
      </w:r>
      <w:r w:rsidR="005E4EA5">
        <w:rPr>
          <w:rFonts w:ascii="Arial" w:hAnsi="Arial" w:cs="Arial"/>
          <w:sz w:val="22"/>
          <w:szCs w:val="22"/>
        </w:rPr>
        <w:t>.</w:t>
      </w:r>
    </w:p>
    <w:p w:rsidR="00D42D21" w:rsidRPr="00FE537A" w:rsidRDefault="00552F2E" w:rsidP="00A04ED5">
      <w:pPr>
        <w:spacing w:after="0" w:line="480" w:lineRule="auto"/>
        <w:rPr>
          <w:rFonts w:ascii="Arial" w:hAnsi="Arial" w:cs="Arial"/>
          <w:sz w:val="22"/>
          <w:szCs w:val="22"/>
        </w:rPr>
      </w:pPr>
      <w:r w:rsidRPr="00D925CB">
        <w:rPr>
          <w:rFonts w:ascii="Arial" w:hAnsi="Arial" w:cs="Arial"/>
          <w:sz w:val="22"/>
          <w:szCs w:val="22"/>
        </w:rPr>
        <w:tab/>
        <w:t xml:space="preserve">SLIV effectiveness estimates for an epidemic season are separately biased-corrected for each negative control outcome and corrected for the average effect of the three </w:t>
      </w:r>
      <w:r w:rsidR="00871709">
        <w:rPr>
          <w:rFonts w:ascii="Arial" w:hAnsi="Arial" w:cs="Arial"/>
          <w:sz w:val="22"/>
          <w:szCs w:val="22"/>
        </w:rPr>
        <w:t>negative control outcomes</w:t>
      </w:r>
      <w:r w:rsidR="00567104">
        <w:rPr>
          <w:rFonts w:ascii="Arial" w:hAnsi="Arial" w:cs="Arial"/>
          <w:sz w:val="22"/>
          <w:szCs w:val="22"/>
        </w:rPr>
        <w:t xml:space="preserve">. </w:t>
      </w:r>
      <w:r w:rsidRPr="00D925CB">
        <w:rPr>
          <w:rFonts w:ascii="Arial" w:hAnsi="Arial" w:cs="Arial"/>
          <w:sz w:val="22"/>
          <w:szCs w:val="22"/>
        </w:rPr>
        <w:t>Bias-correction for each negative</w:t>
      </w:r>
      <w:r w:rsidRPr="00C3106A">
        <w:rPr>
          <w:rFonts w:ascii="Arial" w:hAnsi="Arial" w:cs="Arial"/>
          <w:sz w:val="22"/>
          <w:szCs w:val="22"/>
        </w:rPr>
        <w:t xml:space="preserve"> control outcome was estimated as the</w:t>
      </w:r>
      <w:r w:rsidR="00871709">
        <w:rPr>
          <w:rFonts w:ascii="Arial" w:hAnsi="Arial" w:cs="Arial"/>
          <w:sz w:val="22"/>
          <w:szCs w:val="22"/>
        </w:rPr>
        <w:t xml:space="preserve"> exponentiation of the</w:t>
      </w:r>
      <w:r w:rsidRPr="00C3106A">
        <w:rPr>
          <w:rFonts w:ascii="Arial" w:hAnsi="Arial" w:cs="Arial"/>
          <w:sz w:val="22"/>
          <w:szCs w:val="22"/>
        </w:rPr>
        <w:t xml:space="preserve"> difference between the relative risks for ILI and for the negative control ou</w:t>
      </w:r>
      <w:r w:rsidR="005B6FFD">
        <w:rPr>
          <w:rFonts w:ascii="Arial" w:hAnsi="Arial" w:cs="Arial"/>
          <w:sz w:val="22"/>
          <w:szCs w:val="22"/>
        </w:rPr>
        <w:t>tcome on the natural logarithm</w:t>
      </w:r>
      <w:r w:rsidRPr="00C3106A">
        <w:rPr>
          <w:rFonts w:ascii="Arial" w:hAnsi="Arial" w:cs="Arial"/>
          <w:sz w:val="22"/>
          <w:szCs w:val="22"/>
        </w:rPr>
        <w:t xml:space="preserve"> scale</w:t>
      </w:r>
      <w:r w:rsidR="00567104">
        <w:rPr>
          <w:rFonts w:ascii="Arial" w:hAnsi="Arial" w:cs="Arial"/>
          <w:sz w:val="22"/>
          <w:szCs w:val="22"/>
        </w:rPr>
        <w:t xml:space="preserve">. </w:t>
      </w:r>
      <w:r w:rsidRPr="00C3106A">
        <w:rPr>
          <w:rFonts w:ascii="Arial" w:hAnsi="Arial" w:cs="Arial"/>
          <w:sz w:val="22"/>
          <w:szCs w:val="22"/>
        </w:rPr>
        <w:t>Simultaneous bias-correction for all three negative control outcomes was estimated in the same manner using</w:t>
      </w:r>
      <w:r w:rsidRPr="00FE537A">
        <w:rPr>
          <w:rFonts w:ascii="Arial" w:hAnsi="Arial" w:cs="Arial"/>
          <w:sz w:val="22"/>
          <w:szCs w:val="22"/>
        </w:rPr>
        <w:t xml:space="preserve"> the geometric mean of the relative risks for the three negative control outcomes.</w:t>
      </w:r>
    </w:p>
    <w:p w:rsidR="00123622" w:rsidRDefault="00136AF4" w:rsidP="00A04ED5">
      <w:pPr>
        <w:spacing w:after="0" w:line="480" w:lineRule="auto"/>
        <w:rPr>
          <w:rFonts w:ascii="Arial" w:hAnsi="Arial" w:cs="Arial"/>
          <w:sz w:val="22"/>
          <w:szCs w:val="22"/>
        </w:rPr>
      </w:pPr>
      <w:r>
        <w:rPr>
          <w:rFonts w:ascii="Arial" w:hAnsi="Arial" w:cs="Arial"/>
          <w:b/>
          <w:sz w:val="22"/>
          <w:szCs w:val="22"/>
        </w:rPr>
        <w:lastRenderedPageBreak/>
        <w:t>Statistical m</w:t>
      </w:r>
      <w:r w:rsidR="00E05910" w:rsidRPr="00E05910">
        <w:rPr>
          <w:rFonts w:ascii="Arial" w:hAnsi="Arial" w:cs="Arial"/>
          <w:b/>
          <w:sz w:val="22"/>
          <w:szCs w:val="22"/>
        </w:rPr>
        <w:t>ethods.</w:t>
      </w:r>
      <w:r w:rsidR="00E05910">
        <w:rPr>
          <w:rFonts w:ascii="Arial" w:hAnsi="Arial" w:cs="Arial"/>
          <w:sz w:val="22"/>
          <w:szCs w:val="22"/>
        </w:rPr>
        <w:t xml:space="preserve"> </w:t>
      </w:r>
      <w:r w:rsidR="002C220E">
        <w:rPr>
          <w:rFonts w:ascii="Arial" w:hAnsi="Arial" w:cs="Arial"/>
          <w:sz w:val="22"/>
          <w:szCs w:val="22"/>
        </w:rPr>
        <w:t>The data consists of counts</w:t>
      </w:r>
      <w:r w:rsidR="007A67E3">
        <w:rPr>
          <w:rFonts w:ascii="Arial" w:hAnsi="Arial" w:cs="Arial"/>
          <w:sz w:val="22"/>
          <w:szCs w:val="22"/>
        </w:rPr>
        <w:t xml:space="preserve"> </w:t>
      </w:r>
      <m:oMath>
        <m:sSub>
          <m:sSubPr>
            <m:ctrlPr>
              <w:rPr>
                <w:rFonts w:ascii="Cambria Math" w:hAnsi="Cambria Math" w:cs="Arial"/>
                <w:i/>
                <w:sz w:val="22"/>
                <w:szCs w:val="22"/>
              </w:rPr>
            </m:ctrlPr>
          </m:sSubPr>
          <m:e>
            <m:r>
              <w:rPr>
                <w:rFonts w:ascii="Cambria Math" w:hAnsi="Cambria Math" w:cs="Arial"/>
                <w:sz w:val="22"/>
                <w:szCs w:val="22"/>
              </w:rPr>
              <m:t>i</m:t>
            </m:r>
          </m:e>
          <m:sub>
            <m:r>
              <w:rPr>
                <w:rFonts w:ascii="Cambria Math" w:hAnsi="Cambria Math" w:cs="Arial"/>
                <w:sz w:val="22"/>
                <w:szCs w:val="22"/>
              </w:rPr>
              <m:t>o,a,c,t</m:t>
            </m:r>
          </m:sub>
        </m:sSub>
      </m:oMath>
      <w:r w:rsidR="002C220E">
        <w:rPr>
          <w:rFonts w:ascii="Arial" w:hAnsi="Arial" w:cs="Arial"/>
          <w:sz w:val="22"/>
          <w:szCs w:val="22"/>
        </w:rPr>
        <w:t xml:space="preserve"> </w:t>
      </w:r>
      <w:r w:rsidR="007A67E3">
        <w:rPr>
          <w:rFonts w:ascii="Arial" w:hAnsi="Arial" w:cs="Arial"/>
          <w:sz w:val="22"/>
          <w:szCs w:val="22"/>
        </w:rPr>
        <w:t xml:space="preserve">of outpatient visits to sentinel emergency department and urgent care facilities for each outcome </w:t>
      </w:r>
      <m:oMath>
        <m:r>
          <w:rPr>
            <w:rFonts w:ascii="Cambria Math" w:hAnsi="Cambria Math" w:cs="Arial"/>
            <w:sz w:val="22"/>
            <w:szCs w:val="22"/>
          </w:rPr>
          <m:t>o</m:t>
        </m:r>
      </m:oMath>
      <w:r w:rsidR="007A67E3">
        <w:rPr>
          <w:rFonts w:ascii="Arial" w:hAnsi="Arial" w:cs="Arial"/>
          <w:sz w:val="22"/>
          <w:szCs w:val="22"/>
        </w:rPr>
        <w:t xml:space="preserve"> (ILI=influenza-like illness; Resp=</w:t>
      </w:r>
      <w:proofErr w:type="gramStart"/>
      <w:r w:rsidR="007A67E3">
        <w:rPr>
          <w:rFonts w:ascii="Arial" w:hAnsi="Arial" w:cs="Arial"/>
          <w:sz w:val="22"/>
          <w:szCs w:val="22"/>
        </w:rPr>
        <w:t>Other</w:t>
      </w:r>
      <w:proofErr w:type="gramEnd"/>
      <w:r w:rsidR="007A67E3">
        <w:rPr>
          <w:rFonts w:ascii="Arial" w:hAnsi="Arial" w:cs="Arial"/>
          <w:sz w:val="22"/>
          <w:szCs w:val="22"/>
        </w:rPr>
        <w:t xml:space="preserve"> respiratory illness; GI=gastrointestinal illness; Injury=physical injury), age-group </w:t>
      </w:r>
      <m:oMath>
        <m:r>
          <w:rPr>
            <w:rFonts w:ascii="Cambria Math" w:hAnsi="Cambria Math" w:cs="Arial"/>
            <w:sz w:val="22"/>
            <w:szCs w:val="22"/>
          </w:rPr>
          <m:t>a</m:t>
        </m:r>
      </m:oMath>
      <w:r w:rsidR="007A67E3">
        <w:rPr>
          <w:rFonts w:ascii="Arial" w:hAnsi="Arial" w:cs="Arial"/>
          <w:sz w:val="22"/>
          <w:szCs w:val="22"/>
        </w:rPr>
        <w:t xml:space="preserve"> in years (0-4; 5-17; 18-44; 45-64; 65plus), geographic area </w:t>
      </w:r>
      <m:oMath>
        <m:r>
          <w:rPr>
            <w:rFonts w:ascii="Cambria Math" w:hAnsi="Cambria Math" w:cs="Arial"/>
            <w:sz w:val="22"/>
            <w:szCs w:val="22"/>
          </w:rPr>
          <m:t>c</m:t>
        </m:r>
      </m:oMath>
      <w:r w:rsidR="007A67E3">
        <w:rPr>
          <w:rFonts w:ascii="Arial" w:hAnsi="Arial" w:cs="Arial"/>
          <w:sz w:val="22"/>
          <w:szCs w:val="22"/>
        </w:rPr>
        <w:t xml:space="preserve"> (A=Alachua; R=Region 3; F=</w:t>
      </w:r>
      <w:r w:rsidR="00C42407">
        <w:rPr>
          <w:rFonts w:ascii="Arial" w:hAnsi="Arial" w:cs="Arial"/>
          <w:sz w:val="22"/>
          <w:szCs w:val="22"/>
        </w:rPr>
        <w:t xml:space="preserve">Rest of </w:t>
      </w:r>
      <w:r w:rsidR="007A67E3">
        <w:rPr>
          <w:rFonts w:ascii="Arial" w:hAnsi="Arial" w:cs="Arial"/>
          <w:sz w:val="22"/>
          <w:szCs w:val="22"/>
        </w:rPr>
        <w:t xml:space="preserve">Florida), and week </w:t>
      </w:r>
      <m:oMath>
        <m:r>
          <w:rPr>
            <w:rFonts w:ascii="Cambria Math" w:hAnsi="Cambria Math" w:cs="Arial"/>
            <w:sz w:val="22"/>
            <w:szCs w:val="22"/>
          </w:rPr>
          <m:t>t</m:t>
        </m:r>
      </m:oMath>
      <w:r w:rsidR="007A67E3">
        <w:rPr>
          <w:rFonts w:ascii="Arial" w:hAnsi="Arial" w:cs="Arial"/>
          <w:sz w:val="22"/>
          <w:szCs w:val="22"/>
        </w:rPr>
        <w:t xml:space="preserve"> (CDC week and calendar year)</w:t>
      </w:r>
      <w:r w:rsidR="00567104">
        <w:rPr>
          <w:rFonts w:ascii="Arial" w:hAnsi="Arial" w:cs="Arial"/>
          <w:sz w:val="22"/>
          <w:szCs w:val="22"/>
        </w:rPr>
        <w:t xml:space="preserve">. </w:t>
      </w:r>
      <w:r w:rsidR="007A67E3">
        <w:rPr>
          <w:rFonts w:ascii="Arial" w:hAnsi="Arial" w:cs="Arial"/>
          <w:sz w:val="22"/>
          <w:szCs w:val="22"/>
        </w:rPr>
        <w:t xml:space="preserve">Weekly counts </w:t>
      </w:r>
      <m:oMath>
        <m:sSub>
          <m:sSubPr>
            <m:ctrlPr>
              <w:rPr>
                <w:rFonts w:ascii="Cambria Math" w:hAnsi="Cambria Math" w:cs="Arial"/>
                <w:i/>
                <w:sz w:val="22"/>
                <w:szCs w:val="22"/>
              </w:rPr>
            </m:ctrlPr>
          </m:sSubPr>
          <m:e>
            <m:r>
              <w:rPr>
                <w:rFonts w:ascii="Cambria Math" w:hAnsi="Cambria Math" w:cs="Arial"/>
                <w:sz w:val="22"/>
                <w:szCs w:val="22"/>
              </w:rPr>
              <m:t>k</m:t>
            </m:r>
          </m:e>
          <m:sub>
            <m:r>
              <w:rPr>
                <w:rFonts w:ascii="Cambria Math" w:hAnsi="Cambria Math" w:cs="Arial"/>
                <w:sz w:val="22"/>
                <w:szCs w:val="22"/>
              </w:rPr>
              <m:t>a,c,t</m:t>
            </m:r>
          </m:sub>
        </m:sSub>
      </m:oMath>
      <w:r w:rsidR="007A67E3">
        <w:rPr>
          <w:rFonts w:ascii="Arial" w:hAnsi="Arial" w:cs="Arial"/>
          <w:sz w:val="22"/>
          <w:szCs w:val="22"/>
        </w:rPr>
        <w:t xml:space="preserve"> of </w:t>
      </w:r>
      <w:r w:rsidR="0031108A">
        <w:rPr>
          <w:rFonts w:ascii="Arial" w:hAnsi="Arial" w:cs="Arial"/>
          <w:sz w:val="22"/>
          <w:szCs w:val="22"/>
        </w:rPr>
        <w:t>all outpatient visits for any reason</w:t>
      </w:r>
      <w:r w:rsidR="007A67E3">
        <w:rPr>
          <w:rFonts w:ascii="Arial" w:hAnsi="Arial" w:cs="Arial"/>
          <w:sz w:val="22"/>
          <w:szCs w:val="22"/>
        </w:rPr>
        <w:t xml:space="preserve"> are similarly indexed by age-</w:t>
      </w:r>
      <w:proofErr w:type="gramStart"/>
      <w:r w:rsidR="007A67E3">
        <w:rPr>
          <w:rFonts w:ascii="Arial" w:hAnsi="Arial" w:cs="Arial"/>
          <w:sz w:val="22"/>
          <w:szCs w:val="22"/>
        </w:rPr>
        <w:t xml:space="preserve">group </w:t>
      </w:r>
      <w:proofErr w:type="gramEnd"/>
      <m:oMath>
        <m:r>
          <w:rPr>
            <w:rFonts w:ascii="Cambria Math" w:hAnsi="Cambria Math" w:cs="Arial"/>
            <w:sz w:val="22"/>
            <w:szCs w:val="22"/>
          </w:rPr>
          <m:t>a</m:t>
        </m:r>
      </m:oMath>
      <w:r w:rsidR="007A67E3">
        <w:rPr>
          <w:rFonts w:ascii="Arial" w:hAnsi="Arial" w:cs="Arial"/>
          <w:sz w:val="22"/>
          <w:szCs w:val="22"/>
        </w:rPr>
        <w:t xml:space="preserve">, geographic area </w:t>
      </w:r>
      <m:oMath>
        <m:r>
          <w:rPr>
            <w:rFonts w:ascii="Cambria Math" w:hAnsi="Cambria Math" w:cs="Arial"/>
            <w:sz w:val="22"/>
            <w:szCs w:val="22"/>
          </w:rPr>
          <m:t>c</m:t>
        </m:r>
      </m:oMath>
      <w:r w:rsidR="007A67E3">
        <w:rPr>
          <w:rFonts w:ascii="Arial" w:hAnsi="Arial" w:cs="Arial"/>
          <w:sz w:val="22"/>
          <w:szCs w:val="22"/>
        </w:rPr>
        <w:t xml:space="preserve">, and week </w:t>
      </w:r>
      <m:oMath>
        <m:r>
          <w:rPr>
            <w:rFonts w:ascii="Cambria Math" w:hAnsi="Cambria Math" w:cs="Arial"/>
            <w:sz w:val="22"/>
            <w:szCs w:val="22"/>
          </w:rPr>
          <m:t>t</m:t>
        </m:r>
      </m:oMath>
      <w:r w:rsidR="00567104">
        <w:rPr>
          <w:rFonts w:ascii="Arial" w:hAnsi="Arial" w:cs="Arial"/>
          <w:sz w:val="22"/>
          <w:szCs w:val="22"/>
        </w:rPr>
        <w:t xml:space="preserve">. </w:t>
      </w:r>
      <w:r w:rsidR="0031108A">
        <w:rPr>
          <w:rFonts w:ascii="Arial" w:hAnsi="Arial" w:cs="Arial"/>
          <w:sz w:val="22"/>
          <w:szCs w:val="22"/>
        </w:rPr>
        <w:t>The number of r</w:t>
      </w:r>
      <w:r w:rsidR="00F75113">
        <w:rPr>
          <w:rFonts w:ascii="Arial" w:hAnsi="Arial" w:cs="Arial"/>
          <w:sz w:val="22"/>
          <w:szCs w:val="22"/>
        </w:rPr>
        <w:t>esiden</w:t>
      </w:r>
      <w:r w:rsidR="00A634F8">
        <w:rPr>
          <w:rFonts w:ascii="Arial" w:hAnsi="Arial" w:cs="Arial"/>
          <w:sz w:val="22"/>
          <w:szCs w:val="22"/>
        </w:rPr>
        <w:t>ts from the US 2010 Census</w:t>
      </w:r>
      <w:proofErr w:type="gramStart"/>
      <w:r w:rsidR="00A634F8">
        <w:rPr>
          <w:rFonts w:ascii="Arial" w:hAnsi="Arial" w:cs="Arial"/>
          <w:sz w:val="22"/>
          <w:szCs w:val="22"/>
        </w:rPr>
        <w:t>,</w:t>
      </w:r>
      <w:r w:rsidR="00AD621C" w:rsidRPr="00B1197B">
        <w:rPr>
          <w:rFonts w:ascii="Arial" w:hAnsi="Arial" w:cs="Arial"/>
          <w:noProof/>
          <w:sz w:val="22"/>
          <w:szCs w:val="22"/>
          <w:vertAlign w:val="superscript"/>
        </w:rPr>
        <w:t>17</w:t>
      </w:r>
      <w:proofErr w:type="gramEnd"/>
      <w:r w:rsidR="00F75113">
        <w:rPr>
          <w:rFonts w:ascii="Arial" w:hAnsi="Arial" w:cs="Arial"/>
          <w:sz w:val="22"/>
          <w:szCs w:val="22"/>
        </w:rPr>
        <w:t xml:space="preserve"> </w:t>
      </w:r>
      <m:oMath>
        <m:sSub>
          <m:sSubPr>
            <m:ctrlPr>
              <w:rPr>
                <w:rFonts w:ascii="Cambria Math" w:hAnsi="Cambria Math" w:cs="Arial"/>
                <w:i/>
                <w:sz w:val="22"/>
                <w:szCs w:val="22"/>
              </w:rPr>
            </m:ctrlPr>
          </m:sSubPr>
          <m:e>
            <m:r>
              <w:rPr>
                <w:rFonts w:ascii="Cambria Math" w:hAnsi="Cambria Math" w:cs="Arial"/>
                <w:sz w:val="22"/>
                <w:szCs w:val="22"/>
              </w:rPr>
              <m:t>m</m:t>
            </m:r>
          </m:e>
          <m:sub>
            <m:r>
              <w:rPr>
                <w:rFonts w:ascii="Cambria Math" w:hAnsi="Cambria Math" w:cs="Arial"/>
                <w:sz w:val="22"/>
                <w:szCs w:val="22"/>
              </w:rPr>
              <m:t>a,c</m:t>
            </m:r>
          </m:sub>
        </m:sSub>
      </m:oMath>
      <w:r w:rsidR="00A634F8">
        <w:rPr>
          <w:rFonts w:ascii="Arial" w:hAnsi="Arial" w:cs="Arial"/>
          <w:sz w:val="22"/>
          <w:szCs w:val="22"/>
        </w:rPr>
        <w:t>, is</w:t>
      </w:r>
      <w:r w:rsidR="00F75113">
        <w:rPr>
          <w:rFonts w:ascii="Arial" w:hAnsi="Arial" w:cs="Arial"/>
          <w:sz w:val="22"/>
          <w:szCs w:val="22"/>
        </w:rPr>
        <w:t xml:space="preserve"> indexed by age-group </w:t>
      </w:r>
      <m:oMath>
        <m:r>
          <w:rPr>
            <w:rFonts w:ascii="Cambria Math" w:hAnsi="Cambria Math" w:cs="Arial"/>
            <w:sz w:val="22"/>
            <w:szCs w:val="22"/>
          </w:rPr>
          <m:t>a</m:t>
        </m:r>
      </m:oMath>
      <w:r w:rsidR="00F75113">
        <w:rPr>
          <w:rFonts w:ascii="Arial" w:hAnsi="Arial" w:cs="Arial"/>
          <w:sz w:val="22"/>
          <w:szCs w:val="22"/>
        </w:rPr>
        <w:t xml:space="preserve"> and geographic area </w:t>
      </w:r>
      <m:oMath>
        <m:r>
          <w:rPr>
            <w:rFonts w:ascii="Cambria Math" w:hAnsi="Cambria Math" w:cs="Arial"/>
            <w:sz w:val="22"/>
            <w:szCs w:val="22"/>
          </w:rPr>
          <m:t>c</m:t>
        </m:r>
      </m:oMath>
      <w:r w:rsidR="00567104">
        <w:rPr>
          <w:rFonts w:ascii="Arial" w:hAnsi="Arial" w:cs="Arial"/>
          <w:sz w:val="22"/>
          <w:szCs w:val="22"/>
        </w:rPr>
        <w:t xml:space="preserve">. </w:t>
      </w:r>
      <w:r w:rsidR="00010706">
        <w:rPr>
          <w:rFonts w:ascii="Arial" w:hAnsi="Arial" w:cs="Arial"/>
          <w:sz w:val="22"/>
          <w:szCs w:val="22"/>
        </w:rPr>
        <w:t xml:space="preserve">The </w:t>
      </w:r>
      <w:r w:rsidR="00387C31">
        <w:rPr>
          <w:rFonts w:ascii="Arial" w:hAnsi="Arial" w:cs="Arial"/>
          <w:sz w:val="22"/>
          <w:szCs w:val="22"/>
        </w:rPr>
        <w:t>u</w:t>
      </w:r>
      <w:r w:rsidR="00123622">
        <w:rPr>
          <w:rFonts w:ascii="Arial" w:hAnsi="Arial" w:cs="Arial"/>
          <w:sz w:val="22"/>
          <w:szCs w:val="22"/>
        </w:rPr>
        <w:t>n</w:t>
      </w:r>
      <w:r w:rsidR="00871229">
        <w:rPr>
          <w:rFonts w:ascii="Arial" w:hAnsi="Arial" w:cs="Arial"/>
          <w:sz w:val="22"/>
          <w:szCs w:val="22"/>
        </w:rPr>
        <w:t>standardized</w:t>
      </w:r>
      <w:r w:rsidR="00123622">
        <w:rPr>
          <w:rFonts w:ascii="Arial" w:hAnsi="Arial" w:cs="Arial"/>
          <w:sz w:val="22"/>
          <w:szCs w:val="22"/>
        </w:rPr>
        <w:t xml:space="preserve"> attack rate for outcome </w:t>
      </w:r>
      <m:oMath>
        <m:r>
          <w:rPr>
            <w:rFonts w:ascii="Cambria Math" w:hAnsi="Cambria Math" w:cs="Arial"/>
            <w:sz w:val="22"/>
            <w:szCs w:val="22"/>
          </w:rPr>
          <m:t>o</m:t>
        </m:r>
      </m:oMath>
      <w:r w:rsidR="00123622">
        <w:rPr>
          <w:rFonts w:ascii="Arial" w:hAnsi="Arial" w:cs="Arial"/>
          <w:sz w:val="22"/>
          <w:szCs w:val="22"/>
        </w:rPr>
        <w:t xml:space="preserve"> during </w:t>
      </w:r>
      <w:r w:rsidR="005E4EA5">
        <w:rPr>
          <w:rFonts w:ascii="Arial" w:hAnsi="Arial" w:cs="Arial"/>
          <w:sz w:val="22"/>
          <w:szCs w:val="22"/>
        </w:rPr>
        <w:t xml:space="preserve">the epidemic </w:t>
      </w:r>
      <w:r w:rsidR="00123622">
        <w:rPr>
          <w:rFonts w:ascii="Arial" w:hAnsi="Arial" w:cs="Arial"/>
          <w:sz w:val="22"/>
          <w:szCs w:val="22"/>
        </w:rPr>
        <w:t xml:space="preserve">period </w:t>
      </w:r>
      <m:oMath>
        <m:r>
          <w:rPr>
            <w:rFonts w:ascii="Cambria Math" w:hAnsi="Cambria Math" w:cs="Arial"/>
            <w:sz w:val="22"/>
            <w:szCs w:val="22"/>
          </w:rPr>
          <m:t>p</m:t>
        </m:r>
      </m:oMath>
      <w:r w:rsidR="006B4A9D">
        <w:rPr>
          <w:rFonts w:ascii="Arial" w:hAnsi="Arial" w:cs="Arial"/>
          <w:sz w:val="22"/>
          <w:szCs w:val="22"/>
        </w:rPr>
        <w:t xml:space="preserve"> </w:t>
      </w:r>
      <w:r w:rsidR="00C42407">
        <w:rPr>
          <w:rFonts w:ascii="Arial" w:hAnsi="Arial" w:cs="Arial"/>
          <w:sz w:val="22"/>
          <w:szCs w:val="22"/>
        </w:rPr>
        <w:t>(1=2011-2012; 2=2012-2013)</w:t>
      </w:r>
      <w:r w:rsidR="00E13152">
        <w:rPr>
          <w:rFonts w:ascii="Arial" w:hAnsi="Arial" w:cs="Arial"/>
          <w:sz w:val="22"/>
          <w:szCs w:val="22"/>
        </w:rPr>
        <w:t xml:space="preserve"> </w:t>
      </w:r>
      <w:r w:rsidR="00123622">
        <w:rPr>
          <w:rFonts w:ascii="Arial" w:hAnsi="Arial" w:cs="Arial"/>
          <w:sz w:val="22"/>
          <w:szCs w:val="22"/>
        </w:rPr>
        <w:t xml:space="preserve">among residents of geographic area </w:t>
      </w:r>
      <m:oMath>
        <m:r>
          <w:rPr>
            <w:rFonts w:ascii="Cambria Math" w:hAnsi="Cambria Math" w:cs="Arial"/>
            <w:sz w:val="22"/>
            <w:szCs w:val="22"/>
          </w:rPr>
          <m:t>c</m:t>
        </m:r>
      </m:oMath>
      <w:r w:rsidR="00123622">
        <w:rPr>
          <w:rFonts w:ascii="Arial" w:hAnsi="Arial" w:cs="Arial"/>
          <w:sz w:val="22"/>
          <w:szCs w:val="22"/>
        </w:rPr>
        <w:t xml:space="preserve"> in age-group </w:t>
      </w:r>
      <m:oMath>
        <m:r>
          <w:rPr>
            <w:rFonts w:ascii="Cambria Math" w:hAnsi="Cambria Math" w:cs="Arial"/>
            <w:sz w:val="22"/>
            <w:szCs w:val="22"/>
          </w:rPr>
          <m:t>a</m:t>
        </m:r>
      </m:oMath>
      <w:r w:rsidR="00123622">
        <w:rPr>
          <w:rFonts w:ascii="Arial" w:hAnsi="Arial" w:cs="Arial"/>
          <w:sz w:val="22"/>
          <w:szCs w:val="22"/>
        </w:rPr>
        <w:t xml:space="preserve"> is estimated by</w:t>
      </w:r>
    </w:p>
    <w:p w:rsidR="003659EF" w:rsidRDefault="004335A4" w:rsidP="00A04ED5">
      <w:pPr>
        <w:spacing w:after="0" w:line="480" w:lineRule="auto"/>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AR</m:t>
              </m:r>
            </m:e>
            <m:sub>
              <m:r>
                <w:rPr>
                  <w:rFonts w:ascii="Cambria Math" w:hAnsi="Cambria Math" w:cs="Arial"/>
                  <w:sz w:val="22"/>
                  <w:szCs w:val="22"/>
                </w:rPr>
                <m:t>o,p,a,c,S-</m:t>
              </m:r>
            </m:sub>
          </m:sSub>
          <m:r>
            <w:rPr>
              <w:rFonts w:ascii="Cambria Math" w:hAnsi="Cambria Math" w:cs="Arial"/>
              <w:sz w:val="22"/>
              <w:szCs w:val="22"/>
            </w:rPr>
            <m:t>=</m:t>
          </m:r>
          <m:f>
            <m:fPr>
              <m:ctrlPr>
                <w:rPr>
                  <w:rFonts w:ascii="Cambria Math" w:hAnsi="Cambria Math" w:cs="Arial"/>
                  <w:i/>
                  <w:sz w:val="22"/>
                  <w:szCs w:val="22"/>
                </w:rPr>
              </m:ctrlPr>
            </m:fPr>
            <m:num>
              <m:nary>
                <m:naryPr>
                  <m:chr m:val="∑"/>
                  <m:limLoc m:val="undOvr"/>
                  <m:supHide m:val="1"/>
                  <m:ctrlPr>
                    <w:rPr>
                      <w:rFonts w:ascii="Cambria Math" w:hAnsi="Cambria Math" w:cs="Arial"/>
                      <w:i/>
                      <w:sz w:val="22"/>
                      <w:szCs w:val="22"/>
                    </w:rPr>
                  </m:ctrlPr>
                </m:naryPr>
                <m:sub>
                  <m:r>
                    <w:rPr>
                      <w:rFonts w:ascii="Cambria Math" w:hAnsi="Cambria Math" w:cs="Arial"/>
                      <w:sz w:val="22"/>
                      <w:szCs w:val="22"/>
                    </w:rPr>
                    <m:t>t∈p</m:t>
                  </m:r>
                </m:sub>
                <m:sup/>
                <m:e>
                  <m:sSub>
                    <m:sSubPr>
                      <m:ctrlPr>
                        <w:rPr>
                          <w:rFonts w:ascii="Cambria Math" w:hAnsi="Cambria Math" w:cs="Arial"/>
                          <w:i/>
                          <w:sz w:val="22"/>
                          <w:szCs w:val="22"/>
                        </w:rPr>
                      </m:ctrlPr>
                    </m:sSubPr>
                    <m:e>
                      <m:r>
                        <w:rPr>
                          <w:rFonts w:ascii="Cambria Math" w:hAnsi="Cambria Math" w:cs="Arial"/>
                          <w:sz w:val="22"/>
                          <w:szCs w:val="22"/>
                        </w:rPr>
                        <m:t>i</m:t>
                      </m:r>
                    </m:e>
                    <m:sub>
                      <m:r>
                        <w:rPr>
                          <w:rFonts w:ascii="Cambria Math" w:hAnsi="Cambria Math" w:cs="Arial"/>
                          <w:sz w:val="22"/>
                          <w:szCs w:val="22"/>
                        </w:rPr>
                        <m:t>o,a,c,t</m:t>
                      </m:r>
                    </m:sub>
                  </m:sSub>
                </m:e>
              </m:nary>
            </m:num>
            <m:den>
              <m:sSub>
                <m:sSubPr>
                  <m:ctrlPr>
                    <w:rPr>
                      <w:rFonts w:ascii="Cambria Math" w:hAnsi="Cambria Math" w:cs="Arial"/>
                      <w:i/>
                      <w:sz w:val="22"/>
                      <w:szCs w:val="22"/>
                    </w:rPr>
                  </m:ctrlPr>
                </m:sSubPr>
                <m:e>
                  <m:r>
                    <w:rPr>
                      <w:rFonts w:ascii="Cambria Math" w:hAnsi="Cambria Math" w:cs="Arial"/>
                      <w:sz w:val="22"/>
                      <w:szCs w:val="22"/>
                    </w:rPr>
                    <m:t>m</m:t>
                  </m:r>
                </m:e>
                <m:sub>
                  <m:r>
                    <w:rPr>
                      <w:rFonts w:ascii="Cambria Math" w:hAnsi="Cambria Math" w:cs="Arial"/>
                      <w:sz w:val="22"/>
                      <w:szCs w:val="22"/>
                    </w:rPr>
                    <m:t>a,c</m:t>
                  </m:r>
                </m:sub>
              </m:sSub>
            </m:den>
          </m:f>
        </m:oMath>
      </m:oMathPara>
    </w:p>
    <w:p w:rsidR="00AA460B" w:rsidRDefault="00123622" w:rsidP="00A04ED5">
      <w:pPr>
        <w:spacing w:after="0" w:line="480" w:lineRule="auto"/>
        <w:rPr>
          <w:rFonts w:ascii="Arial" w:hAnsi="Arial" w:cs="Arial"/>
          <w:sz w:val="22"/>
          <w:szCs w:val="22"/>
        </w:rPr>
      </w:pPr>
      <w:r>
        <w:rPr>
          <w:rFonts w:ascii="Arial" w:hAnsi="Arial" w:cs="Arial"/>
          <w:sz w:val="22"/>
          <w:szCs w:val="22"/>
        </w:rPr>
        <w:t xml:space="preserve">, where </w:t>
      </w:r>
      <m:oMath>
        <m:r>
          <m:rPr>
            <m:nor/>
          </m:rPr>
          <w:rPr>
            <w:rFonts w:ascii="Cambria Math" w:hAnsi="Cambria Math" w:cs="Arial"/>
            <w:sz w:val="22"/>
            <w:szCs w:val="22"/>
          </w:rPr>
          <m:t>S-</m:t>
        </m:r>
      </m:oMath>
      <w:r>
        <w:rPr>
          <w:rFonts w:ascii="Arial" w:hAnsi="Arial" w:cs="Arial"/>
          <w:sz w:val="22"/>
          <w:szCs w:val="22"/>
        </w:rPr>
        <w:t xml:space="preserve"> represents the </w:t>
      </w:r>
      <w:r w:rsidR="00356A19">
        <w:rPr>
          <w:rFonts w:ascii="Arial" w:hAnsi="Arial" w:cs="Arial"/>
          <w:sz w:val="22"/>
          <w:szCs w:val="22"/>
        </w:rPr>
        <w:t>unstandardized</w:t>
      </w:r>
      <w:r>
        <w:rPr>
          <w:rFonts w:ascii="Arial" w:hAnsi="Arial" w:cs="Arial"/>
          <w:sz w:val="22"/>
          <w:szCs w:val="22"/>
        </w:rPr>
        <w:t xml:space="preserve"> s</w:t>
      </w:r>
      <w:r w:rsidR="003659EF">
        <w:rPr>
          <w:rFonts w:ascii="Arial" w:hAnsi="Arial" w:cs="Arial"/>
          <w:sz w:val="22"/>
          <w:szCs w:val="22"/>
        </w:rPr>
        <w:t xml:space="preserve">tate for the process </w:t>
      </w:r>
      <m:oMath>
        <m:r>
          <w:rPr>
            <w:rFonts w:ascii="Cambria Math" w:hAnsi="Cambria Math" w:cs="Arial"/>
            <w:sz w:val="22"/>
            <w:szCs w:val="22"/>
          </w:rPr>
          <m:t>x</m:t>
        </m:r>
      </m:oMath>
      <w:r>
        <w:rPr>
          <w:rFonts w:ascii="Arial" w:hAnsi="Arial" w:cs="Arial"/>
          <w:sz w:val="22"/>
          <w:szCs w:val="22"/>
        </w:rPr>
        <w:t xml:space="preserve"> of standardization for the</w:t>
      </w:r>
      <w:r w:rsidR="003659EF">
        <w:rPr>
          <w:rFonts w:ascii="Arial" w:hAnsi="Arial" w:cs="Arial"/>
          <w:sz w:val="22"/>
          <w:szCs w:val="22"/>
        </w:rPr>
        <w:t xml:space="preserve"> rate of outpatient visits of any type</w:t>
      </w:r>
      <w:r w:rsidR="005E4EA5">
        <w:rPr>
          <w:rFonts w:ascii="Arial" w:hAnsi="Arial" w:cs="Arial"/>
          <w:sz w:val="22"/>
          <w:szCs w:val="22"/>
        </w:rPr>
        <w:t xml:space="preserve"> and </w:t>
      </w:r>
      <m:oMath>
        <m:r>
          <w:rPr>
            <w:rFonts w:ascii="Cambria Math" w:hAnsi="Cambria Math" w:cs="Arial"/>
            <w:sz w:val="22"/>
            <w:szCs w:val="22"/>
          </w:rPr>
          <m:t>t∈p</m:t>
        </m:r>
      </m:oMath>
      <w:r w:rsidR="005E4EA5">
        <w:rPr>
          <w:rFonts w:ascii="Arial" w:hAnsi="Arial" w:cs="Arial"/>
          <w:sz w:val="22"/>
          <w:szCs w:val="22"/>
        </w:rPr>
        <w:t xml:space="preserve"> represents the set of weeks </w:t>
      </w:r>
      <w:r w:rsidR="00C42407">
        <w:rPr>
          <w:rFonts w:ascii="Arial" w:hAnsi="Arial" w:cs="Arial"/>
          <w:sz w:val="22"/>
          <w:szCs w:val="22"/>
        </w:rPr>
        <w:t xml:space="preserve">comprising the epidemic period </w:t>
      </w:r>
      <m:oMath>
        <m:r>
          <w:rPr>
            <w:rFonts w:ascii="Cambria Math" w:hAnsi="Cambria Math" w:cs="Arial"/>
            <w:sz w:val="22"/>
            <w:szCs w:val="22"/>
          </w:rPr>
          <m:t>p</m:t>
        </m:r>
      </m:oMath>
      <w:r w:rsidR="00567104">
        <w:rPr>
          <w:rFonts w:ascii="Arial" w:hAnsi="Arial" w:cs="Arial"/>
          <w:sz w:val="22"/>
          <w:szCs w:val="22"/>
        </w:rPr>
        <w:t xml:space="preserve">. </w:t>
      </w:r>
    </w:p>
    <w:p w:rsidR="00123622" w:rsidRDefault="00123622" w:rsidP="00A04ED5">
      <w:pPr>
        <w:spacing w:after="0" w:line="480" w:lineRule="auto"/>
        <w:rPr>
          <w:rFonts w:ascii="Arial" w:hAnsi="Arial" w:cs="Arial"/>
          <w:sz w:val="22"/>
          <w:szCs w:val="22"/>
        </w:rPr>
      </w:pPr>
    </w:p>
    <w:p w:rsidR="00123622" w:rsidRDefault="00123622" w:rsidP="00A04ED5">
      <w:pPr>
        <w:spacing w:after="0" w:line="480" w:lineRule="auto"/>
        <w:rPr>
          <w:rFonts w:ascii="Arial" w:hAnsi="Arial" w:cs="Arial"/>
          <w:sz w:val="22"/>
          <w:szCs w:val="22"/>
        </w:rPr>
      </w:pPr>
      <w:r w:rsidRPr="00781C1B">
        <w:rPr>
          <w:rFonts w:ascii="Arial" w:hAnsi="Arial" w:cs="Arial"/>
          <w:i/>
          <w:sz w:val="22"/>
          <w:szCs w:val="22"/>
        </w:rPr>
        <w:t xml:space="preserve">Standardization for </w:t>
      </w:r>
      <w:r w:rsidR="00FC6D73">
        <w:rPr>
          <w:rFonts w:ascii="Arial" w:hAnsi="Arial" w:cs="Arial"/>
          <w:i/>
          <w:sz w:val="22"/>
          <w:szCs w:val="22"/>
        </w:rPr>
        <w:t>the r</w:t>
      </w:r>
      <w:r w:rsidRPr="00781C1B">
        <w:rPr>
          <w:rFonts w:ascii="Arial" w:hAnsi="Arial" w:cs="Arial"/>
          <w:i/>
          <w:sz w:val="22"/>
          <w:szCs w:val="22"/>
        </w:rPr>
        <w:t>ate</w:t>
      </w:r>
      <w:r>
        <w:rPr>
          <w:rFonts w:ascii="Arial" w:hAnsi="Arial" w:cs="Arial"/>
          <w:i/>
          <w:sz w:val="22"/>
          <w:szCs w:val="22"/>
        </w:rPr>
        <w:t xml:space="preserve"> of </w:t>
      </w:r>
      <w:r w:rsidR="00FC6D73">
        <w:rPr>
          <w:rFonts w:ascii="Arial" w:hAnsi="Arial" w:cs="Arial"/>
          <w:i/>
          <w:sz w:val="22"/>
          <w:szCs w:val="22"/>
        </w:rPr>
        <w:t>o</w:t>
      </w:r>
      <w:r w:rsidRPr="00781C1B">
        <w:rPr>
          <w:rFonts w:ascii="Arial" w:hAnsi="Arial" w:cs="Arial"/>
          <w:i/>
          <w:sz w:val="22"/>
          <w:szCs w:val="22"/>
        </w:rPr>
        <w:t>u</w:t>
      </w:r>
      <w:r w:rsidR="00FC6D73">
        <w:rPr>
          <w:rFonts w:ascii="Arial" w:hAnsi="Arial" w:cs="Arial"/>
          <w:i/>
          <w:sz w:val="22"/>
          <w:szCs w:val="22"/>
        </w:rPr>
        <w:t>tpatient v</w:t>
      </w:r>
      <w:r w:rsidRPr="00781C1B">
        <w:rPr>
          <w:rFonts w:ascii="Arial" w:hAnsi="Arial" w:cs="Arial"/>
          <w:i/>
          <w:sz w:val="22"/>
          <w:szCs w:val="22"/>
        </w:rPr>
        <w:t xml:space="preserve">isits </w:t>
      </w:r>
      <w:r w:rsidR="001D449A">
        <w:rPr>
          <w:rFonts w:ascii="Arial" w:hAnsi="Arial" w:cs="Arial"/>
          <w:i/>
          <w:sz w:val="22"/>
          <w:szCs w:val="22"/>
        </w:rPr>
        <w:t>of</w:t>
      </w:r>
      <w:r w:rsidR="00FC6D73">
        <w:rPr>
          <w:rFonts w:ascii="Arial" w:hAnsi="Arial" w:cs="Arial"/>
          <w:i/>
          <w:sz w:val="22"/>
          <w:szCs w:val="22"/>
        </w:rPr>
        <w:t xml:space="preserve"> any </w:t>
      </w:r>
      <w:r w:rsidR="001D449A">
        <w:rPr>
          <w:rFonts w:ascii="Arial" w:hAnsi="Arial" w:cs="Arial"/>
          <w:i/>
          <w:sz w:val="22"/>
          <w:szCs w:val="22"/>
        </w:rPr>
        <w:t>type</w:t>
      </w:r>
      <w:r>
        <w:rPr>
          <w:rFonts w:ascii="Arial" w:hAnsi="Arial" w:cs="Arial"/>
          <w:sz w:val="22"/>
          <w:szCs w:val="22"/>
        </w:rPr>
        <w:t xml:space="preserve">. </w:t>
      </w:r>
      <w:r w:rsidRPr="00781C1B">
        <w:rPr>
          <w:rFonts w:ascii="Arial" w:hAnsi="Arial" w:cs="Arial"/>
          <w:sz w:val="22"/>
          <w:szCs w:val="22"/>
        </w:rPr>
        <w:t>The</w:t>
      </w:r>
      <w:r>
        <w:rPr>
          <w:rFonts w:ascii="Arial" w:hAnsi="Arial" w:cs="Arial"/>
          <w:sz w:val="22"/>
          <w:szCs w:val="22"/>
        </w:rPr>
        <w:t xml:space="preserve"> </w:t>
      </w:r>
      <w:r w:rsidR="003659EF">
        <w:rPr>
          <w:rFonts w:ascii="Arial" w:hAnsi="Arial" w:cs="Arial"/>
          <w:sz w:val="22"/>
          <w:szCs w:val="22"/>
        </w:rPr>
        <w:t xml:space="preserve">weekly </w:t>
      </w:r>
      <w:r>
        <w:rPr>
          <w:rFonts w:ascii="Arial" w:hAnsi="Arial" w:cs="Arial"/>
          <w:sz w:val="22"/>
          <w:szCs w:val="22"/>
        </w:rPr>
        <w:t xml:space="preserve">rate of outpatient visits to sentinel emergency departments and urgent care facilities for any reason differs between Alachua County and the comparison </w:t>
      </w:r>
      <w:r w:rsidR="00274FEE">
        <w:rPr>
          <w:rFonts w:ascii="Arial" w:hAnsi="Arial" w:cs="Arial"/>
          <w:sz w:val="22"/>
          <w:szCs w:val="22"/>
        </w:rPr>
        <w:t>areas</w:t>
      </w:r>
      <w:r w:rsidR="00567104">
        <w:rPr>
          <w:rFonts w:ascii="Arial" w:hAnsi="Arial" w:cs="Arial"/>
          <w:sz w:val="22"/>
          <w:szCs w:val="22"/>
        </w:rPr>
        <w:t xml:space="preserve">. </w:t>
      </w:r>
      <w:r>
        <w:rPr>
          <w:rFonts w:ascii="Arial" w:hAnsi="Arial" w:cs="Arial"/>
          <w:sz w:val="22"/>
          <w:szCs w:val="22"/>
        </w:rPr>
        <w:t>This difference is a potential source of bias with regard to the ascertainment of ILI among community members</w:t>
      </w:r>
      <w:r w:rsidR="00567104">
        <w:rPr>
          <w:rFonts w:ascii="Arial" w:hAnsi="Arial" w:cs="Arial"/>
          <w:sz w:val="22"/>
          <w:szCs w:val="22"/>
        </w:rPr>
        <w:t xml:space="preserve">. </w:t>
      </w:r>
      <w:r>
        <w:rPr>
          <w:rFonts w:ascii="Arial" w:hAnsi="Arial" w:cs="Arial"/>
          <w:sz w:val="22"/>
          <w:szCs w:val="22"/>
        </w:rPr>
        <w:t>To explore the effects of and account for any ascertainment bias from this source, the weekly rate for the primary outcome in each of the comparison areas was standardized to the overall visit rates for the same week in Alachua County</w:t>
      </w:r>
      <w:r w:rsidR="00567104">
        <w:rPr>
          <w:rFonts w:ascii="Arial" w:hAnsi="Arial" w:cs="Arial"/>
          <w:sz w:val="22"/>
          <w:szCs w:val="22"/>
        </w:rPr>
        <w:t xml:space="preserve">. </w:t>
      </w:r>
      <w:r>
        <w:rPr>
          <w:rFonts w:ascii="Arial" w:hAnsi="Arial" w:cs="Arial"/>
          <w:sz w:val="22"/>
          <w:szCs w:val="22"/>
        </w:rPr>
        <w:t>The visit-</w:t>
      </w:r>
      <w:r w:rsidR="005549BF">
        <w:rPr>
          <w:rFonts w:ascii="Arial" w:hAnsi="Arial" w:cs="Arial"/>
          <w:sz w:val="22"/>
          <w:szCs w:val="22"/>
        </w:rPr>
        <w:t xml:space="preserve">rate </w:t>
      </w:r>
      <w:r>
        <w:rPr>
          <w:rFonts w:ascii="Arial" w:hAnsi="Arial" w:cs="Arial"/>
          <w:sz w:val="22"/>
          <w:szCs w:val="22"/>
        </w:rPr>
        <w:t xml:space="preserve">standardized attack rate for </w:t>
      </w:r>
      <w:proofErr w:type="gramStart"/>
      <w:r>
        <w:rPr>
          <w:rFonts w:ascii="Arial" w:hAnsi="Arial" w:cs="Arial"/>
          <w:sz w:val="22"/>
          <w:szCs w:val="22"/>
        </w:rPr>
        <w:t xml:space="preserve">outcome </w:t>
      </w:r>
      <w:proofErr w:type="gramEnd"/>
      <m:oMath>
        <m:r>
          <w:rPr>
            <w:rFonts w:ascii="Cambria Math" w:hAnsi="Cambria Math" w:cs="Arial"/>
            <w:sz w:val="22"/>
            <w:szCs w:val="22"/>
          </w:rPr>
          <m:t>o</m:t>
        </m:r>
      </m:oMath>
      <w:r>
        <w:rPr>
          <w:rFonts w:ascii="Arial" w:hAnsi="Arial" w:cs="Arial"/>
          <w:sz w:val="22"/>
          <w:szCs w:val="22"/>
        </w:rPr>
        <w:t xml:space="preserve">, </w:t>
      </w:r>
      <w:r w:rsidR="00C42407">
        <w:rPr>
          <w:rFonts w:ascii="Arial" w:hAnsi="Arial" w:cs="Arial"/>
          <w:sz w:val="22"/>
          <w:szCs w:val="22"/>
        </w:rPr>
        <w:t xml:space="preserve">epidemic </w:t>
      </w:r>
      <w:r>
        <w:rPr>
          <w:rFonts w:ascii="Arial" w:hAnsi="Arial" w:cs="Arial"/>
          <w:sz w:val="22"/>
          <w:szCs w:val="22"/>
        </w:rPr>
        <w:t xml:space="preserve">period </w:t>
      </w:r>
      <m:oMath>
        <m:r>
          <w:rPr>
            <w:rFonts w:ascii="Cambria Math" w:hAnsi="Cambria Math" w:cs="Arial"/>
            <w:sz w:val="22"/>
            <w:szCs w:val="22"/>
          </w:rPr>
          <m:t>p</m:t>
        </m:r>
      </m:oMath>
      <w:r w:rsidR="00522185">
        <w:rPr>
          <w:rFonts w:ascii="Arial" w:hAnsi="Arial" w:cs="Arial"/>
          <w:sz w:val="22"/>
          <w:szCs w:val="22"/>
        </w:rPr>
        <w:t>,</w:t>
      </w:r>
      <w:r>
        <w:rPr>
          <w:rFonts w:ascii="Arial" w:hAnsi="Arial" w:cs="Arial"/>
          <w:sz w:val="22"/>
          <w:szCs w:val="22"/>
        </w:rPr>
        <w:t xml:space="preserve"> age-group </w:t>
      </w:r>
      <m:oMath>
        <m:r>
          <w:rPr>
            <w:rFonts w:ascii="Cambria Math" w:hAnsi="Cambria Math" w:cs="Arial"/>
            <w:sz w:val="22"/>
            <w:szCs w:val="22"/>
          </w:rPr>
          <m:t>a</m:t>
        </m:r>
      </m:oMath>
      <w:r w:rsidR="00522185">
        <w:rPr>
          <w:rFonts w:ascii="Arial" w:hAnsi="Arial" w:cs="Arial"/>
          <w:sz w:val="22"/>
          <w:szCs w:val="22"/>
        </w:rPr>
        <w:t xml:space="preserve">, and geographic area </w:t>
      </w:r>
      <m:oMath>
        <m:r>
          <w:rPr>
            <w:rFonts w:ascii="Cambria Math" w:hAnsi="Cambria Math" w:cs="Arial"/>
            <w:sz w:val="22"/>
            <w:szCs w:val="22"/>
          </w:rPr>
          <m:t>c</m:t>
        </m:r>
      </m:oMath>
      <w:r>
        <w:rPr>
          <w:rFonts w:ascii="Arial" w:hAnsi="Arial" w:cs="Arial"/>
          <w:sz w:val="22"/>
          <w:szCs w:val="22"/>
        </w:rPr>
        <w:t xml:space="preserve"> is estimated by </w:t>
      </w:r>
    </w:p>
    <w:p w:rsidR="00123622" w:rsidRDefault="004335A4" w:rsidP="00A04ED5">
      <w:pPr>
        <w:spacing w:after="0" w:line="480" w:lineRule="auto"/>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AR</m:t>
              </m:r>
            </m:e>
            <m:sub>
              <m:r>
                <w:rPr>
                  <w:rFonts w:ascii="Cambria Math" w:hAnsi="Cambria Math" w:cs="Arial"/>
                  <w:sz w:val="22"/>
                  <w:szCs w:val="22"/>
                </w:rPr>
                <m:t>o,p,a,c,S+</m:t>
              </m:r>
            </m:sub>
          </m:sSub>
          <m:r>
            <w:rPr>
              <w:rFonts w:ascii="Cambria Math" w:hAnsi="Cambria Math" w:cs="Arial"/>
              <w:sz w:val="22"/>
              <w:szCs w:val="22"/>
            </w:rPr>
            <m:t>=</m:t>
          </m:r>
          <m:f>
            <m:fPr>
              <m:ctrlPr>
                <w:rPr>
                  <w:rFonts w:ascii="Cambria Math" w:hAnsi="Cambria Math" w:cs="Arial"/>
                  <w:i/>
                  <w:sz w:val="22"/>
                  <w:szCs w:val="22"/>
                </w:rPr>
              </m:ctrlPr>
            </m:fPr>
            <m:num>
              <m:nary>
                <m:naryPr>
                  <m:chr m:val="∑"/>
                  <m:limLoc m:val="undOvr"/>
                  <m:supHide m:val="1"/>
                  <m:ctrlPr>
                    <w:rPr>
                      <w:rFonts w:ascii="Cambria Math" w:hAnsi="Cambria Math" w:cs="Arial"/>
                      <w:i/>
                      <w:sz w:val="22"/>
                      <w:szCs w:val="22"/>
                    </w:rPr>
                  </m:ctrlPr>
                </m:naryPr>
                <m:sub>
                  <m:r>
                    <w:rPr>
                      <w:rFonts w:ascii="Cambria Math" w:hAnsi="Cambria Math" w:cs="Arial"/>
                      <w:sz w:val="22"/>
                      <w:szCs w:val="22"/>
                    </w:rPr>
                    <m:t>t∈p</m:t>
                  </m:r>
                </m:sub>
                <m:sup/>
                <m:e>
                  <m:d>
                    <m:dPr>
                      <m:ctrlPr>
                        <w:rPr>
                          <w:rFonts w:ascii="Cambria Math" w:hAnsi="Cambria Math" w:cs="Arial"/>
                          <w:i/>
                          <w:sz w:val="22"/>
                          <w:szCs w:val="22"/>
                        </w:rPr>
                      </m:ctrlPr>
                    </m:dPr>
                    <m:e>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i</m:t>
                              </m:r>
                            </m:e>
                            <m:sub>
                              <m:r>
                                <w:rPr>
                                  <w:rFonts w:ascii="Cambria Math" w:hAnsi="Cambria Math" w:cs="Arial"/>
                                  <w:sz w:val="22"/>
                                  <w:szCs w:val="22"/>
                                </w:rPr>
                                <m:t>o,a,c,t</m:t>
                              </m:r>
                            </m:sub>
                          </m:sSub>
                        </m:num>
                        <m:den>
                          <m:sSub>
                            <m:sSubPr>
                              <m:ctrlPr>
                                <w:rPr>
                                  <w:rFonts w:ascii="Cambria Math" w:hAnsi="Cambria Math" w:cs="Arial"/>
                                  <w:i/>
                                  <w:sz w:val="22"/>
                                  <w:szCs w:val="22"/>
                                </w:rPr>
                              </m:ctrlPr>
                            </m:sSubPr>
                            <m:e>
                              <m:r>
                                <w:rPr>
                                  <w:rFonts w:ascii="Cambria Math" w:hAnsi="Cambria Math" w:cs="Arial"/>
                                  <w:sz w:val="22"/>
                                  <w:szCs w:val="22"/>
                                </w:rPr>
                                <m:t>k</m:t>
                              </m:r>
                            </m:e>
                            <m:sub>
                              <m:r>
                                <w:rPr>
                                  <w:rFonts w:ascii="Cambria Math" w:hAnsi="Cambria Math" w:cs="Arial"/>
                                  <w:sz w:val="22"/>
                                  <w:szCs w:val="22"/>
                                </w:rPr>
                                <m:t>a,c,t</m:t>
                              </m:r>
                            </m:sub>
                          </m:sSub>
                        </m:den>
                      </m:f>
                      <m:r>
                        <w:rPr>
                          <w:rFonts w:ascii="Cambria Math" w:hAnsi="Cambria Math" w:cs="Arial"/>
                          <w:sz w:val="22"/>
                          <w:szCs w:val="22"/>
                        </w:rPr>
                        <m:t>*</m:t>
                      </m:r>
                      <m:f>
                        <m:fPr>
                          <m:ctrlPr>
                            <w:rPr>
                              <w:rFonts w:ascii="Cambria Math" w:hAnsi="Cambria Math" w:cs="Arial"/>
                              <w:i/>
                              <w:sz w:val="22"/>
                              <w:szCs w:val="22"/>
                            </w:rPr>
                          </m:ctrlPr>
                        </m:fPr>
                        <m:num>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k</m:t>
                                  </m:r>
                                </m:e>
                                <m:sub>
                                  <m:r>
                                    <w:rPr>
                                      <w:rFonts w:ascii="Cambria Math" w:hAnsi="Cambria Math" w:cs="Arial"/>
                                      <w:sz w:val="22"/>
                                      <w:szCs w:val="22"/>
                                    </w:rPr>
                                    <m:t>a,c,t</m:t>
                                  </m:r>
                                </m:sub>
                              </m:sSub>
                            </m:num>
                            <m:den>
                              <m:sSub>
                                <m:sSubPr>
                                  <m:ctrlPr>
                                    <w:rPr>
                                      <w:rFonts w:ascii="Cambria Math" w:hAnsi="Cambria Math" w:cs="Arial"/>
                                      <w:i/>
                                      <w:sz w:val="22"/>
                                      <w:szCs w:val="22"/>
                                    </w:rPr>
                                  </m:ctrlPr>
                                </m:sSubPr>
                                <m:e>
                                  <m:r>
                                    <w:rPr>
                                      <w:rFonts w:ascii="Cambria Math" w:hAnsi="Cambria Math" w:cs="Arial"/>
                                      <w:sz w:val="22"/>
                                      <w:szCs w:val="22"/>
                                    </w:rPr>
                                    <m:t>m</m:t>
                                  </m:r>
                                </m:e>
                                <m:sub>
                                  <m:r>
                                    <w:rPr>
                                      <w:rFonts w:ascii="Cambria Math" w:hAnsi="Cambria Math" w:cs="Arial"/>
                                      <w:sz w:val="22"/>
                                      <w:szCs w:val="22"/>
                                    </w:rPr>
                                    <m:t>a,c</m:t>
                                  </m:r>
                                </m:sub>
                              </m:sSub>
                            </m:den>
                          </m:f>
                        </m:num>
                        <m:den>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k</m:t>
                                  </m:r>
                                </m:e>
                                <m:sub>
                                  <m:r>
                                    <w:rPr>
                                      <w:rFonts w:ascii="Cambria Math" w:hAnsi="Cambria Math" w:cs="Arial"/>
                                      <w:sz w:val="22"/>
                                      <w:szCs w:val="22"/>
                                    </w:rPr>
                                    <m:t>a,A,t</m:t>
                                  </m:r>
                                </m:sub>
                              </m:sSub>
                            </m:num>
                            <m:den>
                              <m:sSub>
                                <m:sSubPr>
                                  <m:ctrlPr>
                                    <w:rPr>
                                      <w:rFonts w:ascii="Cambria Math" w:hAnsi="Cambria Math" w:cs="Arial"/>
                                      <w:i/>
                                      <w:sz w:val="22"/>
                                      <w:szCs w:val="22"/>
                                    </w:rPr>
                                  </m:ctrlPr>
                                </m:sSubPr>
                                <m:e>
                                  <m:r>
                                    <w:rPr>
                                      <w:rFonts w:ascii="Cambria Math" w:hAnsi="Cambria Math" w:cs="Arial"/>
                                      <w:sz w:val="22"/>
                                      <w:szCs w:val="22"/>
                                    </w:rPr>
                                    <m:t>m</m:t>
                                  </m:r>
                                </m:e>
                                <m:sub>
                                  <m:r>
                                    <w:rPr>
                                      <w:rFonts w:ascii="Cambria Math" w:hAnsi="Cambria Math" w:cs="Arial"/>
                                      <w:sz w:val="22"/>
                                      <w:szCs w:val="22"/>
                                    </w:rPr>
                                    <m:t>a,A</m:t>
                                  </m:r>
                                </m:sub>
                              </m:sSub>
                            </m:den>
                          </m:f>
                        </m:den>
                      </m:f>
                    </m:e>
                  </m:d>
                </m:e>
              </m:nary>
            </m:num>
            <m:den>
              <m:sSub>
                <m:sSubPr>
                  <m:ctrlPr>
                    <w:rPr>
                      <w:rFonts w:ascii="Cambria Math" w:hAnsi="Cambria Math" w:cs="Arial"/>
                      <w:i/>
                      <w:sz w:val="22"/>
                      <w:szCs w:val="22"/>
                    </w:rPr>
                  </m:ctrlPr>
                </m:sSubPr>
                <m:e>
                  <m:r>
                    <w:rPr>
                      <w:rFonts w:ascii="Cambria Math" w:hAnsi="Cambria Math" w:cs="Arial"/>
                      <w:sz w:val="22"/>
                      <w:szCs w:val="22"/>
                    </w:rPr>
                    <m:t>m</m:t>
                  </m:r>
                </m:e>
                <m:sub>
                  <m:r>
                    <w:rPr>
                      <w:rFonts w:ascii="Cambria Math" w:hAnsi="Cambria Math" w:cs="Arial"/>
                      <w:sz w:val="22"/>
                      <w:szCs w:val="22"/>
                    </w:rPr>
                    <m:t>a,c</m:t>
                  </m:r>
                </m:sub>
              </m:sSub>
            </m:den>
          </m:f>
        </m:oMath>
      </m:oMathPara>
    </w:p>
    <w:p w:rsidR="00765731" w:rsidRDefault="00482FB5" w:rsidP="00A04ED5">
      <w:pPr>
        <w:spacing w:after="0" w:line="480" w:lineRule="auto"/>
        <w:rPr>
          <w:rFonts w:ascii="Arial" w:hAnsi="Arial" w:cs="Arial"/>
          <w:sz w:val="22"/>
          <w:szCs w:val="22"/>
        </w:rPr>
      </w:pPr>
      <w:r>
        <w:rPr>
          <w:rFonts w:ascii="Arial" w:hAnsi="Arial" w:cs="Arial"/>
          <w:i/>
          <w:sz w:val="22"/>
          <w:szCs w:val="22"/>
        </w:rPr>
        <w:t>Unadjusted and visit-rate standardized</w:t>
      </w:r>
      <w:r w:rsidR="00E13152" w:rsidRPr="00E13152">
        <w:rPr>
          <w:rFonts w:ascii="Arial" w:hAnsi="Arial" w:cs="Arial"/>
          <w:i/>
          <w:sz w:val="22"/>
          <w:szCs w:val="22"/>
        </w:rPr>
        <w:t xml:space="preserve"> </w:t>
      </w:r>
      <w:r>
        <w:rPr>
          <w:rFonts w:ascii="Arial" w:hAnsi="Arial" w:cs="Arial"/>
          <w:i/>
          <w:sz w:val="22"/>
          <w:szCs w:val="22"/>
        </w:rPr>
        <w:t>relative r</w:t>
      </w:r>
      <w:r w:rsidR="00E13152" w:rsidRPr="00E13152">
        <w:rPr>
          <w:rFonts w:ascii="Arial" w:hAnsi="Arial" w:cs="Arial"/>
          <w:i/>
          <w:sz w:val="22"/>
          <w:szCs w:val="22"/>
        </w:rPr>
        <w:t>isk</w:t>
      </w:r>
      <w:r w:rsidR="00E13152">
        <w:rPr>
          <w:rFonts w:ascii="Arial" w:hAnsi="Arial" w:cs="Arial"/>
          <w:sz w:val="22"/>
          <w:szCs w:val="22"/>
        </w:rPr>
        <w:t xml:space="preserve">. </w:t>
      </w:r>
      <w:r w:rsidR="00781C1B">
        <w:rPr>
          <w:rFonts w:ascii="Arial" w:hAnsi="Arial" w:cs="Arial"/>
          <w:sz w:val="22"/>
          <w:szCs w:val="22"/>
        </w:rPr>
        <w:t>The ratio of the attack rates among residents of Alachua County versus each</w:t>
      </w:r>
      <w:r w:rsidR="00123622">
        <w:rPr>
          <w:rFonts w:ascii="Arial" w:hAnsi="Arial" w:cs="Arial"/>
          <w:sz w:val="22"/>
          <w:szCs w:val="22"/>
        </w:rPr>
        <w:t xml:space="preserve"> comparison area is</w:t>
      </w:r>
      <w:r w:rsidR="00781C1B">
        <w:rPr>
          <w:rFonts w:ascii="Arial" w:hAnsi="Arial" w:cs="Arial"/>
          <w:sz w:val="22"/>
          <w:szCs w:val="22"/>
        </w:rPr>
        <w:t xml:space="preserve"> the primary focus of this </w:t>
      </w:r>
      <w:r w:rsidR="00C42407">
        <w:rPr>
          <w:rFonts w:ascii="Arial" w:hAnsi="Arial" w:cs="Arial"/>
          <w:sz w:val="22"/>
          <w:szCs w:val="22"/>
        </w:rPr>
        <w:t xml:space="preserve">sensitivity </w:t>
      </w:r>
      <w:r w:rsidR="00781C1B">
        <w:rPr>
          <w:rFonts w:ascii="Arial" w:hAnsi="Arial" w:cs="Arial"/>
          <w:sz w:val="22"/>
          <w:szCs w:val="22"/>
        </w:rPr>
        <w:t>analysis, with SLIV effectiveness estimated as</w:t>
      </w:r>
      <w:r w:rsidR="001D449A">
        <w:rPr>
          <w:rFonts w:ascii="Arial" w:hAnsi="Arial" w:cs="Arial"/>
          <w:sz w:val="22"/>
          <w:szCs w:val="22"/>
        </w:rPr>
        <w:t xml:space="preserve"> 1 minus this relative risk</w:t>
      </w:r>
      <w:r w:rsidR="00781C1B">
        <w:rPr>
          <w:rFonts w:ascii="Arial" w:hAnsi="Arial" w:cs="Arial"/>
          <w:sz w:val="22"/>
          <w:szCs w:val="22"/>
        </w:rPr>
        <w:t>.</w:t>
      </w:r>
      <w:r w:rsidR="00AD621C" w:rsidRPr="00B1197B">
        <w:rPr>
          <w:rFonts w:ascii="Arial" w:hAnsi="Arial" w:cs="Arial"/>
          <w:noProof/>
          <w:sz w:val="22"/>
          <w:szCs w:val="22"/>
          <w:vertAlign w:val="superscript"/>
        </w:rPr>
        <w:t>18</w:t>
      </w:r>
      <w:r w:rsidR="00781C1B">
        <w:rPr>
          <w:rFonts w:ascii="Arial" w:hAnsi="Arial" w:cs="Arial"/>
          <w:sz w:val="22"/>
          <w:szCs w:val="22"/>
        </w:rPr>
        <w:t xml:space="preserve">  To explore the potential effects of </w:t>
      </w:r>
      <w:r w:rsidR="005A067D">
        <w:rPr>
          <w:rFonts w:ascii="Arial" w:hAnsi="Arial" w:cs="Arial"/>
          <w:sz w:val="22"/>
          <w:szCs w:val="22"/>
        </w:rPr>
        <w:t xml:space="preserve">ascertainment </w:t>
      </w:r>
      <w:r w:rsidR="00781C1B">
        <w:rPr>
          <w:rFonts w:ascii="Arial" w:hAnsi="Arial" w:cs="Arial"/>
          <w:sz w:val="22"/>
          <w:szCs w:val="22"/>
        </w:rPr>
        <w:t xml:space="preserve">bias on SLIV effectiveness, a set of relative risks, </w:t>
      </w:r>
      <m:oMath>
        <m:sSubSup>
          <m:sSubSupPr>
            <m:ctrlPr>
              <w:rPr>
                <w:rFonts w:ascii="Cambria Math" w:hAnsi="Cambria Math" w:cs="Arial"/>
                <w:i/>
                <w:sz w:val="22"/>
                <w:szCs w:val="22"/>
              </w:rPr>
            </m:ctrlPr>
          </m:sSubSupPr>
          <m:e>
            <m:r>
              <w:rPr>
                <w:rFonts w:ascii="Cambria Math" w:hAnsi="Cambria Math" w:cs="Arial"/>
                <w:sz w:val="22"/>
                <w:szCs w:val="22"/>
              </w:rPr>
              <m:t>RR</m:t>
            </m:r>
          </m:e>
          <m:sub>
            <m:r>
              <w:rPr>
                <w:rFonts w:ascii="Cambria Math" w:hAnsi="Cambria Math" w:cs="Arial"/>
                <w:sz w:val="22"/>
                <w:szCs w:val="22"/>
              </w:rPr>
              <m:t>o,p,a,c,x</m:t>
            </m:r>
          </m:sub>
          <m:sup>
            <m:r>
              <w:rPr>
                <w:rFonts w:ascii="Cambria Math" w:hAnsi="Cambria Math" w:cs="Arial"/>
                <w:sz w:val="22"/>
                <w:szCs w:val="22"/>
              </w:rPr>
              <m:t>1</m:t>
            </m:r>
          </m:sup>
        </m:sSubSup>
      </m:oMath>
      <w:r w:rsidR="00781C1B">
        <w:rPr>
          <w:rFonts w:ascii="Arial" w:hAnsi="Arial" w:cs="Arial"/>
          <w:sz w:val="22"/>
          <w:szCs w:val="22"/>
        </w:rPr>
        <w:t>, are estimated for strata indexed by outcome</w:t>
      </w:r>
      <w:r w:rsidR="007A67E3">
        <w:rPr>
          <w:rFonts w:ascii="Arial" w:hAnsi="Arial" w:cs="Arial"/>
          <w:sz w:val="22"/>
          <w:szCs w:val="22"/>
        </w:rPr>
        <w:t xml:space="preserve"> </w:t>
      </w:r>
      <m:oMath>
        <m:r>
          <w:rPr>
            <w:rFonts w:ascii="Cambria Math" w:hAnsi="Cambria Math" w:cs="Arial"/>
            <w:sz w:val="22"/>
            <w:szCs w:val="22"/>
          </w:rPr>
          <m:t>o</m:t>
        </m:r>
      </m:oMath>
      <w:r w:rsidR="00C42407">
        <w:rPr>
          <w:rFonts w:ascii="Arial" w:hAnsi="Arial" w:cs="Arial"/>
          <w:sz w:val="22"/>
          <w:szCs w:val="22"/>
        </w:rPr>
        <w:t xml:space="preserve">, epidemic </w:t>
      </w:r>
      <w:r w:rsidR="00781C1B">
        <w:rPr>
          <w:rFonts w:ascii="Arial" w:hAnsi="Arial" w:cs="Arial"/>
          <w:sz w:val="22"/>
          <w:szCs w:val="22"/>
        </w:rPr>
        <w:t xml:space="preserve">period </w:t>
      </w:r>
      <m:oMath>
        <m:r>
          <w:rPr>
            <w:rFonts w:ascii="Cambria Math" w:hAnsi="Cambria Math" w:cs="Arial"/>
            <w:sz w:val="22"/>
            <w:szCs w:val="22"/>
          </w:rPr>
          <m:t>p</m:t>
        </m:r>
      </m:oMath>
      <w:r w:rsidR="00781C1B">
        <w:rPr>
          <w:rFonts w:ascii="Arial" w:hAnsi="Arial" w:cs="Arial"/>
          <w:sz w:val="22"/>
          <w:szCs w:val="22"/>
        </w:rPr>
        <w:t>, age-group</w:t>
      </w:r>
      <w:r w:rsidR="00E13152">
        <w:rPr>
          <w:rFonts w:ascii="Arial" w:hAnsi="Arial" w:cs="Arial"/>
          <w:sz w:val="22"/>
          <w:szCs w:val="22"/>
        </w:rPr>
        <w:t xml:space="preserve"> </w:t>
      </w:r>
      <m:oMath>
        <m:r>
          <w:rPr>
            <w:rFonts w:ascii="Cambria Math" w:hAnsi="Cambria Math" w:cs="Arial"/>
            <w:sz w:val="22"/>
            <w:szCs w:val="22"/>
          </w:rPr>
          <m:t>a</m:t>
        </m:r>
      </m:oMath>
      <w:r w:rsidR="00781C1B">
        <w:rPr>
          <w:rFonts w:ascii="Arial" w:hAnsi="Arial" w:cs="Arial"/>
          <w:sz w:val="22"/>
          <w:szCs w:val="22"/>
        </w:rPr>
        <w:t>,</w:t>
      </w:r>
      <w:r w:rsidR="00116111">
        <w:rPr>
          <w:rFonts w:ascii="Arial" w:hAnsi="Arial" w:cs="Arial"/>
          <w:sz w:val="22"/>
          <w:szCs w:val="22"/>
        </w:rPr>
        <w:t xml:space="preserve"> non-Alachua geographic comparison area </w:t>
      </w:r>
      <m:oMath>
        <m:r>
          <w:rPr>
            <w:rFonts w:ascii="Cambria Math" w:hAnsi="Cambria Math" w:cs="Arial"/>
            <w:sz w:val="22"/>
            <w:szCs w:val="22"/>
          </w:rPr>
          <m:t>c</m:t>
        </m:r>
      </m:oMath>
      <w:r w:rsidR="00116111">
        <w:rPr>
          <w:rFonts w:ascii="Arial" w:hAnsi="Arial" w:cs="Arial"/>
          <w:sz w:val="22"/>
          <w:szCs w:val="22"/>
        </w:rPr>
        <w:t>,</w:t>
      </w:r>
      <w:r w:rsidR="00781C1B">
        <w:rPr>
          <w:rFonts w:ascii="Arial" w:hAnsi="Arial" w:cs="Arial"/>
          <w:sz w:val="22"/>
          <w:szCs w:val="22"/>
        </w:rPr>
        <w:t xml:space="preserve"> and </w:t>
      </w:r>
      <w:r w:rsidR="00E13152">
        <w:rPr>
          <w:rFonts w:ascii="Arial" w:hAnsi="Arial" w:cs="Arial"/>
          <w:sz w:val="22"/>
          <w:szCs w:val="22"/>
        </w:rPr>
        <w:t>visit-</w:t>
      </w:r>
      <w:r w:rsidR="00726304">
        <w:rPr>
          <w:rFonts w:ascii="Arial" w:hAnsi="Arial" w:cs="Arial"/>
          <w:sz w:val="22"/>
          <w:szCs w:val="22"/>
        </w:rPr>
        <w:t xml:space="preserve">rate </w:t>
      </w:r>
      <w:r w:rsidR="00E13152">
        <w:rPr>
          <w:rFonts w:ascii="Arial" w:hAnsi="Arial" w:cs="Arial"/>
          <w:sz w:val="22"/>
          <w:szCs w:val="22"/>
        </w:rPr>
        <w:t xml:space="preserve">standardization </w:t>
      </w:r>
      <w:r w:rsidR="00781C1B">
        <w:rPr>
          <w:rFonts w:ascii="Arial" w:hAnsi="Arial" w:cs="Arial"/>
          <w:sz w:val="22"/>
          <w:szCs w:val="22"/>
        </w:rPr>
        <w:t xml:space="preserve">status </w:t>
      </w:r>
      <m:oMath>
        <m:r>
          <w:rPr>
            <w:rFonts w:ascii="Cambria Math" w:hAnsi="Cambria Math" w:cs="Arial"/>
            <w:sz w:val="22"/>
            <w:szCs w:val="22"/>
          </w:rPr>
          <m:t>x</m:t>
        </m:r>
      </m:oMath>
      <w:r w:rsidR="00765731">
        <w:rPr>
          <w:rFonts w:ascii="Arial" w:hAnsi="Arial" w:cs="Arial"/>
          <w:sz w:val="22"/>
          <w:szCs w:val="22"/>
        </w:rPr>
        <w:t xml:space="preserve"> by </w:t>
      </w:r>
    </w:p>
    <w:p w:rsidR="00765731" w:rsidRDefault="004335A4" w:rsidP="00A04ED5">
      <w:pPr>
        <w:spacing w:after="0" w:line="480" w:lineRule="auto"/>
        <w:rPr>
          <w:rFonts w:ascii="Arial" w:hAnsi="Arial" w:cs="Arial"/>
          <w:sz w:val="22"/>
          <w:szCs w:val="22"/>
        </w:rPr>
      </w:pPr>
      <m:oMathPara>
        <m:oMath>
          <m:sSubSup>
            <m:sSubSupPr>
              <m:ctrlPr>
                <w:rPr>
                  <w:rFonts w:ascii="Cambria Math" w:hAnsi="Cambria Math" w:cs="Arial"/>
                  <w:i/>
                  <w:sz w:val="22"/>
                  <w:szCs w:val="22"/>
                </w:rPr>
              </m:ctrlPr>
            </m:sSubSupPr>
            <m:e>
              <m:r>
                <w:rPr>
                  <w:rFonts w:ascii="Cambria Math" w:hAnsi="Cambria Math" w:cs="Arial"/>
                  <w:sz w:val="22"/>
                  <w:szCs w:val="22"/>
                </w:rPr>
                <m:t>RR</m:t>
              </m:r>
            </m:e>
            <m:sub>
              <m:r>
                <w:rPr>
                  <w:rFonts w:ascii="Cambria Math" w:hAnsi="Cambria Math" w:cs="Arial"/>
                  <w:sz w:val="22"/>
                  <w:szCs w:val="22"/>
                </w:rPr>
                <m:t>o,p,a,c≠A,x</m:t>
              </m:r>
            </m:sub>
            <m:sup>
              <m:r>
                <w:rPr>
                  <w:rFonts w:ascii="Cambria Math" w:hAnsi="Cambria Math" w:cs="Arial"/>
                  <w:sz w:val="22"/>
                  <w:szCs w:val="22"/>
                </w:rPr>
                <m:t>1</m:t>
              </m:r>
            </m:sup>
          </m:sSubSup>
          <m:r>
            <w:rPr>
              <w:rFonts w:ascii="Cambria Math" w:hAnsi="Cambria Math" w:cs="Arial"/>
              <w:sz w:val="22"/>
              <w:szCs w:val="22"/>
            </w:rPr>
            <m:t>=</m:t>
          </m:r>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AR</m:t>
                  </m:r>
                </m:e>
                <m:sub>
                  <m:r>
                    <w:rPr>
                      <w:rFonts w:ascii="Cambria Math" w:hAnsi="Cambria Math" w:cs="Arial"/>
                      <w:sz w:val="22"/>
                      <w:szCs w:val="22"/>
                    </w:rPr>
                    <m:t>o,p,a,A,x</m:t>
                  </m:r>
                </m:sub>
              </m:sSub>
            </m:num>
            <m:den>
              <m:sSub>
                <m:sSubPr>
                  <m:ctrlPr>
                    <w:rPr>
                      <w:rFonts w:ascii="Cambria Math" w:hAnsi="Cambria Math" w:cs="Arial"/>
                      <w:i/>
                      <w:sz w:val="22"/>
                      <w:szCs w:val="22"/>
                    </w:rPr>
                  </m:ctrlPr>
                </m:sSubPr>
                <m:e>
                  <m:r>
                    <w:rPr>
                      <w:rFonts w:ascii="Cambria Math" w:hAnsi="Cambria Math" w:cs="Arial"/>
                      <w:sz w:val="22"/>
                      <w:szCs w:val="22"/>
                    </w:rPr>
                    <m:t>AR</m:t>
                  </m:r>
                </m:e>
                <m:sub>
                  <m:r>
                    <w:rPr>
                      <w:rFonts w:ascii="Cambria Math" w:hAnsi="Cambria Math" w:cs="Arial"/>
                      <w:sz w:val="22"/>
                      <w:szCs w:val="22"/>
                    </w:rPr>
                    <m:t>o,p,a,c≠A,x</m:t>
                  </m:r>
                </m:sub>
              </m:sSub>
            </m:den>
          </m:f>
          <m:r>
            <m:rPr>
              <m:nor/>
            </m:rPr>
            <w:rPr>
              <w:rFonts w:ascii="Cambria Math" w:hAnsi="Cambria Math" w:cs="Arial"/>
              <w:sz w:val="22"/>
              <w:szCs w:val="22"/>
            </w:rPr>
            <m:t>.</m:t>
          </m:r>
        </m:oMath>
      </m:oMathPara>
    </w:p>
    <w:p w:rsidR="003E18DD" w:rsidRDefault="0002562C" w:rsidP="00A04ED5">
      <w:pPr>
        <w:spacing w:after="0" w:line="480" w:lineRule="auto"/>
        <w:rPr>
          <w:rFonts w:ascii="Arial" w:hAnsi="Arial" w:cs="Arial"/>
          <w:sz w:val="22"/>
          <w:szCs w:val="22"/>
        </w:rPr>
      </w:pPr>
      <w:r w:rsidRPr="0002562C">
        <w:rPr>
          <w:rFonts w:ascii="Arial" w:hAnsi="Arial" w:cs="Arial"/>
          <w:i/>
          <w:sz w:val="22"/>
          <w:szCs w:val="22"/>
        </w:rPr>
        <w:t>Bias correction</w:t>
      </w:r>
      <w:r>
        <w:rPr>
          <w:rFonts w:ascii="Arial" w:hAnsi="Arial" w:cs="Arial"/>
          <w:i/>
          <w:sz w:val="22"/>
          <w:szCs w:val="22"/>
        </w:rPr>
        <w:t xml:space="preserve"> of the re</w:t>
      </w:r>
      <w:r w:rsidR="009610F9">
        <w:rPr>
          <w:rFonts w:ascii="Arial" w:hAnsi="Arial" w:cs="Arial"/>
          <w:i/>
          <w:sz w:val="22"/>
          <w:szCs w:val="22"/>
        </w:rPr>
        <w:t>lative risk for ILI using negative control</w:t>
      </w:r>
      <w:r w:rsidR="00C42407">
        <w:rPr>
          <w:rFonts w:ascii="Arial" w:hAnsi="Arial" w:cs="Arial"/>
          <w:i/>
          <w:sz w:val="22"/>
          <w:szCs w:val="22"/>
        </w:rPr>
        <w:t xml:space="preserve"> outcomes</w:t>
      </w:r>
      <w:r>
        <w:rPr>
          <w:rFonts w:ascii="Arial" w:hAnsi="Arial" w:cs="Arial"/>
          <w:sz w:val="22"/>
          <w:szCs w:val="22"/>
        </w:rPr>
        <w:t xml:space="preserve">. </w:t>
      </w:r>
      <w:r w:rsidR="00781C1B">
        <w:rPr>
          <w:rFonts w:ascii="Arial" w:hAnsi="Arial" w:cs="Arial"/>
          <w:sz w:val="22"/>
          <w:szCs w:val="22"/>
        </w:rPr>
        <w:t>Both unadjusted and bias-</w:t>
      </w:r>
      <w:r w:rsidR="00E75F5F">
        <w:rPr>
          <w:rFonts w:ascii="Arial" w:hAnsi="Arial" w:cs="Arial"/>
          <w:sz w:val="22"/>
          <w:szCs w:val="22"/>
        </w:rPr>
        <w:t>corrected estimates for the relative risk of ILI-associated outpatient visits</w:t>
      </w:r>
      <w:r w:rsidR="00B23C66">
        <w:rPr>
          <w:rFonts w:ascii="Arial" w:hAnsi="Arial" w:cs="Arial"/>
          <w:sz w:val="22"/>
          <w:szCs w:val="22"/>
        </w:rPr>
        <w:t xml:space="preserve"> to sentinel facilities</w:t>
      </w:r>
      <w:r w:rsidR="00781C1B">
        <w:rPr>
          <w:rFonts w:ascii="Arial" w:hAnsi="Arial" w:cs="Arial"/>
          <w:sz w:val="22"/>
          <w:szCs w:val="22"/>
        </w:rPr>
        <w:t xml:space="preserve">, </w:t>
      </w:r>
      <m:oMath>
        <m:sSubSup>
          <m:sSubSupPr>
            <m:ctrlPr>
              <w:rPr>
                <w:rFonts w:ascii="Cambria Math" w:hAnsi="Cambria Math" w:cs="Arial"/>
                <w:i/>
                <w:sz w:val="22"/>
                <w:szCs w:val="22"/>
              </w:rPr>
            </m:ctrlPr>
          </m:sSubSupPr>
          <m:e>
            <m:r>
              <w:rPr>
                <w:rFonts w:ascii="Cambria Math" w:hAnsi="Cambria Math" w:cs="Arial"/>
                <w:sz w:val="22"/>
                <w:szCs w:val="22"/>
              </w:rPr>
              <m:t>RR</m:t>
            </m:r>
          </m:e>
          <m:sub>
            <m:r>
              <w:rPr>
                <w:rFonts w:ascii="Cambria Math" w:hAnsi="Cambria Math" w:cs="Arial"/>
                <w:sz w:val="22"/>
                <w:szCs w:val="22"/>
              </w:rPr>
              <m:t>a,p,c,x,z</m:t>
            </m:r>
          </m:sub>
          <m:sup>
            <m:r>
              <w:rPr>
                <w:rFonts w:ascii="Cambria Math" w:hAnsi="Cambria Math" w:cs="Arial"/>
                <w:sz w:val="22"/>
                <w:szCs w:val="22"/>
              </w:rPr>
              <m:t>2</m:t>
            </m:r>
          </m:sup>
        </m:sSubSup>
      </m:oMath>
      <w:r w:rsidR="00781C1B">
        <w:rPr>
          <w:rFonts w:ascii="Arial" w:hAnsi="Arial" w:cs="Arial"/>
          <w:sz w:val="22"/>
          <w:szCs w:val="22"/>
        </w:rPr>
        <w:t xml:space="preserve">, are indexed by age-group </w:t>
      </w:r>
      <m:oMath>
        <m:r>
          <w:rPr>
            <w:rFonts w:ascii="Cambria Math" w:hAnsi="Cambria Math" w:cs="Arial"/>
            <w:sz w:val="22"/>
            <w:szCs w:val="22"/>
          </w:rPr>
          <m:t>a</m:t>
        </m:r>
      </m:oMath>
      <w:r w:rsidR="00691F59">
        <w:rPr>
          <w:rFonts w:ascii="Arial" w:hAnsi="Arial" w:cs="Arial"/>
          <w:sz w:val="22"/>
          <w:szCs w:val="22"/>
        </w:rPr>
        <w:t xml:space="preserve">, </w:t>
      </w:r>
      <w:r w:rsidR="0070282B">
        <w:rPr>
          <w:rFonts w:ascii="Arial" w:hAnsi="Arial" w:cs="Arial"/>
          <w:sz w:val="22"/>
          <w:szCs w:val="22"/>
        </w:rPr>
        <w:t xml:space="preserve">epidemic period </w:t>
      </w:r>
      <m:oMath>
        <m:r>
          <w:rPr>
            <w:rFonts w:ascii="Cambria Math" w:hAnsi="Cambria Math" w:cs="Arial"/>
            <w:sz w:val="22"/>
            <w:szCs w:val="22"/>
          </w:rPr>
          <m:t>p</m:t>
        </m:r>
      </m:oMath>
      <w:r w:rsidR="0070282B">
        <w:rPr>
          <w:rFonts w:ascii="Arial" w:hAnsi="Arial" w:cs="Arial"/>
          <w:sz w:val="22"/>
          <w:szCs w:val="22"/>
        </w:rPr>
        <w:t xml:space="preserve">, </w:t>
      </w:r>
      <w:r w:rsidR="00691F59">
        <w:rPr>
          <w:rFonts w:ascii="Arial" w:hAnsi="Arial" w:cs="Arial"/>
          <w:sz w:val="22"/>
          <w:szCs w:val="22"/>
        </w:rPr>
        <w:t xml:space="preserve">non-Alachua geographic comparison area </w:t>
      </w:r>
      <m:oMath>
        <m:r>
          <w:rPr>
            <w:rFonts w:ascii="Cambria Math" w:hAnsi="Cambria Math" w:cs="Arial"/>
            <w:sz w:val="22"/>
            <w:szCs w:val="22"/>
          </w:rPr>
          <m:t>c</m:t>
        </m:r>
      </m:oMath>
      <w:r w:rsidR="00691F59">
        <w:rPr>
          <w:rFonts w:ascii="Arial" w:hAnsi="Arial" w:cs="Arial"/>
          <w:sz w:val="22"/>
          <w:szCs w:val="22"/>
        </w:rPr>
        <w:t>,</w:t>
      </w:r>
      <w:r w:rsidR="00E75F5F">
        <w:rPr>
          <w:rFonts w:ascii="Arial" w:hAnsi="Arial" w:cs="Arial"/>
          <w:sz w:val="22"/>
          <w:szCs w:val="22"/>
        </w:rPr>
        <w:t xml:space="preserve"> visit-standardization status </w:t>
      </w:r>
      <m:oMath>
        <m:r>
          <w:rPr>
            <w:rFonts w:ascii="Cambria Math" w:hAnsi="Cambria Math" w:cs="Arial"/>
            <w:sz w:val="22"/>
            <w:szCs w:val="22"/>
          </w:rPr>
          <m:t>x</m:t>
        </m:r>
      </m:oMath>
      <w:r w:rsidR="00E75F5F">
        <w:rPr>
          <w:rFonts w:ascii="Arial" w:hAnsi="Arial" w:cs="Arial"/>
          <w:sz w:val="22"/>
          <w:szCs w:val="22"/>
        </w:rPr>
        <w:t>, and</w:t>
      </w:r>
      <w:r w:rsidR="003E3749">
        <w:rPr>
          <w:rFonts w:ascii="Arial" w:hAnsi="Arial" w:cs="Arial"/>
          <w:sz w:val="22"/>
          <w:szCs w:val="22"/>
        </w:rPr>
        <w:t xml:space="preserve"> by the status</w:t>
      </w:r>
      <w:r w:rsidR="00C42407">
        <w:rPr>
          <w:rFonts w:ascii="Arial" w:hAnsi="Arial" w:cs="Arial"/>
          <w:sz w:val="22"/>
          <w:szCs w:val="22"/>
        </w:rPr>
        <w:t xml:space="preserve"> </w:t>
      </w:r>
      <m:oMath>
        <m:r>
          <w:rPr>
            <w:rFonts w:ascii="Cambria Math" w:hAnsi="Cambria Math" w:cs="Arial"/>
            <w:sz w:val="22"/>
            <w:szCs w:val="22"/>
          </w:rPr>
          <m:t>z</m:t>
        </m:r>
      </m:oMath>
      <w:r w:rsidR="003E3749">
        <w:rPr>
          <w:rFonts w:ascii="Arial" w:hAnsi="Arial" w:cs="Arial"/>
          <w:sz w:val="22"/>
          <w:szCs w:val="22"/>
        </w:rPr>
        <w:t xml:space="preserve">, indicating the </w:t>
      </w:r>
      <w:r w:rsidR="00781C1B" w:rsidRPr="00010BBA">
        <w:rPr>
          <w:rFonts w:ascii="Arial" w:hAnsi="Arial" w:cs="Arial"/>
          <w:sz w:val="22"/>
          <w:szCs w:val="22"/>
        </w:rPr>
        <w:t>negative control outcome</w:t>
      </w:r>
      <w:r w:rsidR="003E3749">
        <w:rPr>
          <w:rFonts w:ascii="Arial" w:hAnsi="Arial" w:cs="Arial"/>
          <w:sz w:val="22"/>
          <w:szCs w:val="22"/>
        </w:rPr>
        <w:t xml:space="preserve"> used for bias correction</w:t>
      </w:r>
      <w:r w:rsidR="0089476A">
        <w:rPr>
          <w:rFonts w:ascii="Arial" w:hAnsi="Arial" w:cs="Arial"/>
          <w:sz w:val="22"/>
          <w:szCs w:val="22"/>
        </w:rPr>
        <w:t xml:space="preserve"> </w:t>
      </w:r>
      <w:r w:rsidR="00781C1B" w:rsidRPr="00010BBA">
        <w:rPr>
          <w:rFonts w:ascii="Arial" w:hAnsi="Arial" w:cs="Arial"/>
          <w:sz w:val="22"/>
          <w:szCs w:val="22"/>
        </w:rPr>
        <w:t xml:space="preserve">(None; </w:t>
      </w:r>
      <w:proofErr w:type="spellStart"/>
      <w:r w:rsidR="00781C1B" w:rsidRPr="00010BBA">
        <w:rPr>
          <w:rFonts w:ascii="Arial" w:hAnsi="Arial" w:cs="Arial"/>
          <w:sz w:val="22"/>
          <w:szCs w:val="22"/>
        </w:rPr>
        <w:t>Resp</w:t>
      </w:r>
      <w:proofErr w:type="spellEnd"/>
      <w:r w:rsidR="00781C1B" w:rsidRPr="00010BBA">
        <w:rPr>
          <w:rFonts w:ascii="Arial" w:hAnsi="Arial" w:cs="Arial"/>
          <w:sz w:val="22"/>
          <w:szCs w:val="22"/>
        </w:rPr>
        <w:t xml:space="preserve">=Other respiratory illness; GI=gastrointestinal illness; Injury=physical injury; All = geometric mean of </w:t>
      </w:r>
      <w:proofErr w:type="spellStart"/>
      <w:r w:rsidR="00781C1B" w:rsidRPr="00010BBA">
        <w:rPr>
          <w:rFonts w:ascii="Arial" w:hAnsi="Arial" w:cs="Arial"/>
          <w:sz w:val="22"/>
          <w:szCs w:val="22"/>
        </w:rPr>
        <w:t>Resp</w:t>
      </w:r>
      <w:proofErr w:type="spellEnd"/>
      <w:r w:rsidR="00781C1B" w:rsidRPr="00010BBA">
        <w:rPr>
          <w:rFonts w:ascii="Arial" w:hAnsi="Arial" w:cs="Arial"/>
          <w:sz w:val="22"/>
          <w:szCs w:val="22"/>
        </w:rPr>
        <w:t>, GI, and In</w:t>
      </w:r>
      <w:r w:rsidR="00C42407">
        <w:rPr>
          <w:rFonts w:ascii="Arial" w:hAnsi="Arial" w:cs="Arial"/>
          <w:sz w:val="22"/>
          <w:szCs w:val="22"/>
        </w:rPr>
        <w:t>jury).</w:t>
      </w:r>
      <w:r w:rsidR="0070282B">
        <w:rPr>
          <w:rFonts w:ascii="Arial" w:hAnsi="Arial" w:cs="Arial"/>
          <w:sz w:val="22"/>
          <w:szCs w:val="22"/>
        </w:rPr>
        <w:t xml:space="preserve"> </w:t>
      </w:r>
      <w:r w:rsidR="00010BBA">
        <w:rPr>
          <w:rFonts w:ascii="Arial" w:hAnsi="Arial" w:cs="Arial"/>
          <w:sz w:val="22"/>
          <w:szCs w:val="22"/>
        </w:rPr>
        <w:t>Th</w:t>
      </w:r>
      <w:r w:rsidR="003E3749">
        <w:rPr>
          <w:rFonts w:ascii="Arial" w:hAnsi="Arial" w:cs="Arial"/>
          <w:sz w:val="22"/>
          <w:szCs w:val="22"/>
        </w:rPr>
        <w:t>is relative risk is estimated by</w:t>
      </w:r>
    </w:p>
    <w:p w:rsidR="00010BBA" w:rsidRDefault="00010BBA" w:rsidP="00A04ED5">
      <w:pPr>
        <w:spacing w:after="0" w:line="480" w:lineRule="auto"/>
        <w:rPr>
          <w:rFonts w:ascii="Arial" w:hAnsi="Arial" w:cs="Arial"/>
          <w:sz w:val="22"/>
          <w:szCs w:val="22"/>
        </w:rPr>
      </w:pPr>
    </w:p>
    <w:p w:rsidR="003E18DD" w:rsidRDefault="004335A4" w:rsidP="00A04ED5">
      <w:pPr>
        <w:spacing w:after="0" w:line="480" w:lineRule="auto"/>
        <w:rPr>
          <w:rFonts w:ascii="Arial" w:hAnsi="Arial" w:cs="Arial"/>
          <w:sz w:val="22"/>
          <w:szCs w:val="22"/>
        </w:rPr>
      </w:pPr>
      <m:oMathPara>
        <m:oMath>
          <m:sSubSup>
            <m:sSubSupPr>
              <m:ctrlPr>
                <w:rPr>
                  <w:rFonts w:ascii="Cambria Math" w:hAnsi="Cambria Math" w:cs="Arial"/>
                  <w:i/>
                  <w:sz w:val="22"/>
                  <w:szCs w:val="22"/>
                </w:rPr>
              </m:ctrlPr>
            </m:sSubSupPr>
            <m:e>
              <m:r>
                <w:rPr>
                  <w:rFonts w:ascii="Cambria Math" w:hAnsi="Cambria Math" w:cs="Arial"/>
                  <w:sz w:val="22"/>
                  <w:szCs w:val="22"/>
                </w:rPr>
                <m:t>RR</m:t>
              </m:r>
            </m:e>
            <m:sub>
              <m:r>
                <w:rPr>
                  <w:rFonts w:ascii="Cambria Math" w:hAnsi="Cambria Math" w:cs="Arial"/>
                  <w:sz w:val="22"/>
                  <w:szCs w:val="22"/>
                </w:rPr>
                <m:t>a,c≠A,x,z</m:t>
              </m:r>
            </m:sub>
            <m:sup>
              <m:r>
                <w:rPr>
                  <w:rFonts w:ascii="Cambria Math" w:hAnsi="Cambria Math" w:cs="Arial"/>
                  <w:sz w:val="22"/>
                  <w:szCs w:val="22"/>
                </w:rPr>
                <m:t>2</m:t>
              </m:r>
            </m:sup>
          </m:sSubSup>
          <m:r>
            <w:rPr>
              <w:rFonts w:ascii="Cambria Math" w:hAnsi="Cambria Math" w:cs="Arial"/>
              <w:sz w:val="22"/>
              <w:szCs w:val="22"/>
            </w:rPr>
            <m:t>=</m:t>
          </m:r>
          <m:sSup>
            <m:sSupPr>
              <m:ctrlPr>
                <w:rPr>
                  <w:rFonts w:ascii="Cambria Math" w:hAnsi="Cambria Math" w:cs="Arial"/>
                  <w:i/>
                  <w:sz w:val="22"/>
                  <w:szCs w:val="22"/>
                </w:rPr>
              </m:ctrlPr>
            </m:sSupPr>
            <m:e>
              <m:r>
                <w:rPr>
                  <w:rFonts w:ascii="Cambria Math" w:hAnsi="Cambria Math" w:cs="Arial"/>
                  <w:sz w:val="22"/>
                  <w:szCs w:val="22"/>
                </w:rPr>
                <m:t>e</m:t>
              </m:r>
            </m:e>
            <m:sup>
              <m:d>
                <m:dPr>
                  <m:begChr m:val="["/>
                  <m:endChr m:val="]"/>
                  <m:ctrlPr>
                    <w:rPr>
                      <w:rFonts w:ascii="Cambria Math" w:hAnsi="Cambria Math" w:cs="Arial"/>
                      <w:i/>
                      <w:sz w:val="22"/>
                      <w:szCs w:val="22"/>
                    </w:rPr>
                  </m:ctrlPr>
                </m:dPr>
                <m:e>
                  <m:func>
                    <m:funcPr>
                      <m:ctrlPr>
                        <w:rPr>
                          <w:rFonts w:ascii="Cambria Math" w:hAnsi="Cambria Math" w:cs="Arial"/>
                          <w:i/>
                          <w:sz w:val="22"/>
                          <w:szCs w:val="22"/>
                        </w:rPr>
                      </m:ctrlPr>
                    </m:funcPr>
                    <m:fName>
                      <m:r>
                        <m:rPr>
                          <m:sty m:val="p"/>
                        </m:rPr>
                        <w:rPr>
                          <w:rFonts w:ascii="Cambria Math" w:hAnsi="Cambria Math" w:cs="Arial"/>
                        </w:rPr>
                        <m:t>ln</m:t>
                      </m:r>
                    </m:fName>
                    <m:e>
                      <m:d>
                        <m:dPr>
                          <m:ctrlPr>
                            <w:rPr>
                              <w:rFonts w:ascii="Cambria Math" w:hAnsi="Cambria Math" w:cs="Arial"/>
                              <w:i/>
                              <w:sz w:val="22"/>
                              <w:szCs w:val="22"/>
                            </w:rPr>
                          </m:ctrlPr>
                        </m:dPr>
                        <m:e>
                          <m:sSubSup>
                            <m:sSubSupPr>
                              <m:ctrlPr>
                                <w:rPr>
                                  <w:rFonts w:ascii="Cambria Math" w:hAnsi="Cambria Math" w:cs="Arial"/>
                                  <w:i/>
                                  <w:sz w:val="22"/>
                                  <w:szCs w:val="22"/>
                                </w:rPr>
                              </m:ctrlPr>
                            </m:sSubSupPr>
                            <m:e>
                              <m:r>
                                <w:rPr>
                                  <w:rFonts w:ascii="Cambria Math" w:hAnsi="Cambria Math" w:cs="Arial"/>
                                  <w:sz w:val="22"/>
                                  <w:szCs w:val="22"/>
                                </w:rPr>
                                <m:t>RR</m:t>
                              </m:r>
                            </m:e>
                            <m:sub>
                              <m:r>
                                <w:rPr>
                                  <w:rFonts w:ascii="Cambria Math" w:hAnsi="Cambria Math" w:cs="Arial"/>
                                  <w:sz w:val="22"/>
                                  <w:szCs w:val="22"/>
                                </w:rPr>
                                <m:t>ILI,a,p,c≠A,x</m:t>
                              </m:r>
                            </m:sub>
                            <m:sup>
                              <m:r>
                                <w:rPr>
                                  <w:rFonts w:ascii="Cambria Math" w:hAnsi="Cambria Math" w:cs="Arial"/>
                                  <w:sz w:val="22"/>
                                  <w:szCs w:val="22"/>
                                </w:rPr>
                                <m:t>1</m:t>
                              </m:r>
                            </m:sup>
                          </m:sSubSup>
                        </m:e>
                      </m:d>
                    </m:e>
                  </m:func>
                  <m:r>
                    <w:rPr>
                      <w:rFonts w:ascii="Cambria Math" w:hAnsi="Cambria Math" w:cs="Arial"/>
                      <w:sz w:val="22"/>
                      <w:szCs w:val="22"/>
                    </w:rPr>
                    <m:t>-</m:t>
                  </m:r>
                  <m:func>
                    <m:funcPr>
                      <m:ctrlPr>
                        <w:rPr>
                          <w:rFonts w:ascii="Cambria Math" w:hAnsi="Cambria Math" w:cs="Arial"/>
                          <w:i/>
                          <w:sz w:val="22"/>
                          <w:szCs w:val="22"/>
                        </w:rPr>
                      </m:ctrlPr>
                    </m:funcPr>
                    <m:fName>
                      <m:r>
                        <m:rPr>
                          <m:sty m:val="p"/>
                        </m:rPr>
                        <w:rPr>
                          <w:rFonts w:ascii="Cambria Math" w:hAnsi="Cambria Math" w:cs="Arial"/>
                        </w:rPr>
                        <m:t>ln</m:t>
                      </m:r>
                    </m:fName>
                    <m:e>
                      <m:d>
                        <m:dPr>
                          <m:ctrlPr>
                            <w:rPr>
                              <w:rFonts w:ascii="Cambria Math" w:hAnsi="Cambria Math" w:cs="Arial"/>
                              <w:i/>
                              <w:sz w:val="22"/>
                              <w:szCs w:val="22"/>
                            </w:rPr>
                          </m:ctrlPr>
                        </m:dPr>
                        <m:e>
                          <m:r>
                            <w:rPr>
                              <w:rFonts w:ascii="Cambria Math" w:hAnsi="Cambria Math" w:cs="Arial"/>
                              <w:sz w:val="22"/>
                              <w:szCs w:val="22"/>
                            </w:rPr>
                            <m:t>g(.)</m:t>
                          </m:r>
                        </m:e>
                      </m:d>
                    </m:e>
                  </m:func>
                </m:e>
              </m:d>
            </m:sup>
          </m:sSup>
        </m:oMath>
      </m:oMathPara>
    </w:p>
    <w:p w:rsidR="00552F2E" w:rsidRDefault="003E18DD" w:rsidP="00A04ED5">
      <w:pPr>
        <w:spacing w:after="0" w:line="480" w:lineRule="auto"/>
        <w:rPr>
          <w:rFonts w:ascii="Arial" w:hAnsi="Arial" w:cs="Arial"/>
          <w:sz w:val="22"/>
          <w:szCs w:val="22"/>
        </w:rPr>
      </w:pPr>
      <w:r>
        <w:rPr>
          <w:rFonts w:ascii="Arial" w:hAnsi="Arial" w:cs="Arial"/>
          <w:sz w:val="22"/>
          <w:szCs w:val="22"/>
        </w:rPr>
        <w:t>,</w:t>
      </w:r>
      <w:r w:rsidR="0048572A">
        <w:rPr>
          <w:rFonts w:ascii="Arial" w:hAnsi="Arial" w:cs="Arial"/>
          <w:sz w:val="22"/>
          <w:szCs w:val="22"/>
        </w:rPr>
        <w:t xml:space="preserve"> </w:t>
      </w:r>
      <w:r>
        <w:rPr>
          <w:rFonts w:ascii="Arial" w:hAnsi="Arial" w:cs="Arial"/>
          <w:sz w:val="22"/>
          <w:szCs w:val="22"/>
        </w:rPr>
        <w:t>where</w:t>
      </w:r>
      <w:r w:rsidR="00552F2E">
        <w:rPr>
          <w:rFonts w:ascii="Arial" w:hAnsi="Arial" w:cs="Arial"/>
          <w:sz w:val="22"/>
          <w:szCs w:val="22"/>
        </w:rPr>
        <w:t xml:space="preserve"> </w:t>
      </w:r>
    </w:p>
    <w:p w:rsidR="00552F2E" w:rsidRDefault="00552F2E" w:rsidP="00A04ED5">
      <w:pPr>
        <w:spacing w:after="0" w:line="480" w:lineRule="auto"/>
        <w:rPr>
          <w:rFonts w:ascii="Arial" w:hAnsi="Arial" w:cs="Arial"/>
          <w:sz w:val="22"/>
          <w:szCs w:val="22"/>
        </w:rPr>
      </w:pPr>
    </w:p>
    <w:p w:rsidR="009C600E" w:rsidRDefault="003E18DD" w:rsidP="00A04ED5">
      <w:pPr>
        <w:spacing w:after="0" w:line="480" w:lineRule="auto"/>
        <w:rPr>
          <w:rFonts w:ascii="Arial" w:hAnsi="Arial" w:cs="Arial"/>
          <w:sz w:val="22"/>
          <w:szCs w:val="22"/>
        </w:rPr>
      </w:pPr>
      <m:oMathPara>
        <m:oMath>
          <m:r>
            <w:rPr>
              <w:rFonts w:ascii="Cambria Math" w:hAnsi="Cambria Math" w:cs="Arial"/>
              <w:sz w:val="22"/>
              <w:szCs w:val="22"/>
            </w:rPr>
            <m:t>g</m:t>
          </m:r>
          <m:d>
            <m:dPr>
              <m:ctrlPr>
                <w:rPr>
                  <w:rFonts w:ascii="Cambria Math" w:hAnsi="Cambria Math" w:cs="Arial"/>
                  <w:i/>
                  <w:sz w:val="22"/>
                  <w:szCs w:val="22"/>
                </w:rPr>
              </m:ctrlPr>
            </m:dPr>
            <m:e>
              <m:r>
                <w:rPr>
                  <w:rFonts w:ascii="Cambria Math" w:hAnsi="Cambria Math" w:cs="Arial"/>
                  <w:sz w:val="22"/>
                  <w:szCs w:val="22"/>
                </w:rPr>
                <m:t>.</m:t>
              </m:r>
            </m:e>
          </m:d>
          <m:r>
            <w:rPr>
              <w:rFonts w:ascii="Cambria Math" w:hAnsi="Cambria Math" w:cs="Arial"/>
              <w:sz w:val="22"/>
              <w:szCs w:val="22"/>
            </w:rPr>
            <m:t>=</m:t>
          </m:r>
          <m:d>
            <m:dPr>
              <m:begChr m:val="{"/>
              <m:endChr m:val=""/>
              <m:ctrlPr>
                <w:rPr>
                  <w:rFonts w:ascii="Cambria Math" w:hAnsi="Cambria Math" w:cs="Arial"/>
                  <w:i/>
                  <w:sz w:val="22"/>
                  <w:szCs w:val="22"/>
                </w:rPr>
              </m:ctrlPr>
            </m:dPr>
            <m:e>
              <m:eqArr>
                <m:eqArrPr>
                  <m:ctrlPr>
                    <w:rPr>
                      <w:rFonts w:ascii="Cambria Math" w:hAnsi="Cambria Math" w:cs="Arial"/>
                      <w:i/>
                      <w:sz w:val="22"/>
                      <w:szCs w:val="22"/>
                    </w:rPr>
                  </m:ctrlPr>
                </m:eqArrPr>
                <m:e>
                  <m:r>
                    <w:rPr>
                      <w:rFonts w:ascii="Cambria Math" w:hAnsi="Cambria Math" w:cs="Arial"/>
                      <w:sz w:val="22"/>
                      <w:szCs w:val="22"/>
                    </w:rPr>
                    <m:t>1                                                                                                                         z=None</m:t>
                  </m:r>
                </m:e>
                <m:e>
                  <m:sSubSup>
                    <m:sSubSupPr>
                      <m:ctrlPr>
                        <w:rPr>
                          <w:rFonts w:ascii="Cambria Math" w:hAnsi="Cambria Math" w:cs="Arial"/>
                          <w:i/>
                          <w:sz w:val="22"/>
                          <w:szCs w:val="22"/>
                        </w:rPr>
                      </m:ctrlPr>
                    </m:sSubSupPr>
                    <m:e>
                      <m:r>
                        <w:rPr>
                          <w:rFonts w:ascii="Cambria Math" w:hAnsi="Cambria Math" w:cs="Arial"/>
                          <w:sz w:val="22"/>
                          <w:szCs w:val="22"/>
                        </w:rPr>
                        <m:t>RR</m:t>
                      </m:r>
                    </m:e>
                    <m:sub>
                      <m:r>
                        <w:rPr>
                          <w:rFonts w:ascii="Cambria Math" w:hAnsi="Cambria Math" w:cs="Arial"/>
                          <w:sz w:val="22"/>
                          <w:szCs w:val="22"/>
                        </w:rPr>
                        <m:t xml:space="preserve">z,p,a,c≠A,x </m:t>
                      </m:r>
                    </m:sub>
                    <m:sup>
                      <m:r>
                        <w:rPr>
                          <w:rFonts w:ascii="Cambria Math" w:hAnsi="Cambria Math" w:cs="Arial"/>
                          <w:sz w:val="22"/>
                          <w:szCs w:val="22"/>
                        </w:rPr>
                        <m:t>1</m:t>
                      </m:r>
                    </m:sup>
                  </m:sSubSup>
                  <m:r>
                    <w:rPr>
                      <w:rFonts w:ascii="Cambria Math" w:hAnsi="Cambria Math" w:cs="Arial"/>
                      <w:sz w:val="22"/>
                      <w:szCs w:val="22"/>
                    </w:rPr>
                    <m:t xml:space="preserve">                                                                           z≠None and z≠All</m:t>
                  </m:r>
                  <m:ctrlPr>
                    <w:rPr>
                      <w:rFonts w:ascii="Cambria Math" w:eastAsia="Cambria Math" w:hAnsi="Cambria Math" w:cs="Cambria Math"/>
                      <w:i/>
                    </w:rPr>
                  </m:ctrlPr>
                </m:e>
                <m:e>
                  <m:sSup>
                    <m:sSupPr>
                      <m:ctrlPr>
                        <w:rPr>
                          <w:rFonts w:ascii="Cambria Math" w:hAnsi="Cambria Math" w:cs="Arial"/>
                          <w:i/>
                          <w:sz w:val="22"/>
                          <w:szCs w:val="22"/>
                        </w:rPr>
                      </m:ctrlPr>
                    </m:sSupPr>
                    <m:e>
                      <m:r>
                        <w:rPr>
                          <w:rFonts w:ascii="Cambria Math" w:hAnsi="Cambria Math" w:cs="Arial"/>
                          <w:sz w:val="22"/>
                          <w:szCs w:val="22"/>
                        </w:rPr>
                        <m:t>e</m:t>
                      </m:r>
                    </m:e>
                    <m:sup>
                      <m:d>
                        <m:dPr>
                          <m:begChr m:val="["/>
                          <m:endChr m:val="]"/>
                          <m:ctrlPr>
                            <w:rPr>
                              <w:rFonts w:ascii="Cambria Math" w:hAnsi="Cambria Math" w:cs="Arial"/>
                              <w:i/>
                              <w:sz w:val="22"/>
                              <w:szCs w:val="22"/>
                            </w:rPr>
                          </m:ctrlPr>
                        </m:dPr>
                        <m:e>
                          <m:f>
                            <m:fPr>
                              <m:ctrlPr>
                                <w:rPr>
                                  <w:rFonts w:ascii="Cambria Math" w:hAnsi="Cambria Math" w:cs="Arial"/>
                                  <w:i/>
                                  <w:sz w:val="22"/>
                                  <w:szCs w:val="22"/>
                                </w:rPr>
                              </m:ctrlPr>
                            </m:fPr>
                            <m:num>
                              <m:func>
                                <m:funcPr>
                                  <m:ctrlPr>
                                    <w:rPr>
                                      <w:rFonts w:ascii="Cambria Math" w:hAnsi="Cambria Math" w:cs="Arial"/>
                                      <w:i/>
                                      <w:sz w:val="22"/>
                                      <w:szCs w:val="22"/>
                                    </w:rPr>
                                  </m:ctrlPr>
                                </m:funcPr>
                                <m:fName>
                                  <m:r>
                                    <m:rPr>
                                      <m:sty m:val="p"/>
                                    </m:rPr>
                                    <w:rPr>
                                      <w:rFonts w:ascii="Cambria Math" w:hAnsi="Cambria Math" w:cs="Arial"/>
                                    </w:rPr>
                                    <m:t>ln</m:t>
                                  </m:r>
                                </m:fName>
                                <m:e>
                                  <m:d>
                                    <m:dPr>
                                      <m:ctrlPr>
                                        <w:rPr>
                                          <w:rFonts w:ascii="Cambria Math" w:hAnsi="Cambria Math" w:cs="Arial"/>
                                          <w:i/>
                                          <w:sz w:val="22"/>
                                          <w:szCs w:val="22"/>
                                        </w:rPr>
                                      </m:ctrlPr>
                                    </m:dPr>
                                    <m:e>
                                      <m:sSubSup>
                                        <m:sSubSupPr>
                                          <m:ctrlPr>
                                            <w:rPr>
                                              <w:rFonts w:ascii="Cambria Math" w:hAnsi="Cambria Math" w:cs="Arial"/>
                                              <w:i/>
                                              <w:sz w:val="22"/>
                                              <w:szCs w:val="22"/>
                                            </w:rPr>
                                          </m:ctrlPr>
                                        </m:sSubSupPr>
                                        <m:e>
                                          <m:r>
                                            <w:rPr>
                                              <w:rFonts w:ascii="Cambria Math" w:hAnsi="Cambria Math" w:cs="Arial"/>
                                              <w:sz w:val="22"/>
                                              <w:szCs w:val="22"/>
                                            </w:rPr>
                                            <m:t>RR</m:t>
                                          </m:r>
                                        </m:e>
                                        <m:sub>
                                          <m:r>
                                            <w:rPr>
                                              <w:rFonts w:ascii="Cambria Math" w:hAnsi="Cambria Math" w:cs="Arial"/>
                                              <w:sz w:val="22"/>
                                              <w:szCs w:val="22"/>
                                            </w:rPr>
                                            <m:t>Resp,p,a,c≠A,x</m:t>
                                          </m:r>
                                        </m:sub>
                                        <m:sup>
                                          <m:r>
                                            <w:rPr>
                                              <w:rFonts w:ascii="Cambria Math" w:hAnsi="Cambria Math" w:cs="Arial"/>
                                              <w:sz w:val="22"/>
                                              <w:szCs w:val="22"/>
                                            </w:rPr>
                                            <m:t>1</m:t>
                                          </m:r>
                                        </m:sup>
                                      </m:sSubSup>
                                    </m:e>
                                  </m:d>
                                </m:e>
                              </m:func>
                              <m:r>
                                <w:rPr>
                                  <w:rFonts w:ascii="Cambria Math" w:hAnsi="Cambria Math" w:cs="Arial"/>
                                  <w:sz w:val="22"/>
                                  <w:szCs w:val="22"/>
                                </w:rPr>
                                <m:t>+</m:t>
                              </m:r>
                              <m:func>
                                <m:funcPr>
                                  <m:ctrlPr>
                                    <w:rPr>
                                      <w:rFonts w:ascii="Cambria Math" w:hAnsi="Cambria Math" w:cs="Arial"/>
                                      <w:i/>
                                      <w:sz w:val="22"/>
                                      <w:szCs w:val="22"/>
                                    </w:rPr>
                                  </m:ctrlPr>
                                </m:funcPr>
                                <m:fName>
                                  <m:r>
                                    <m:rPr>
                                      <m:sty m:val="p"/>
                                    </m:rPr>
                                    <w:rPr>
                                      <w:rFonts w:ascii="Cambria Math" w:hAnsi="Cambria Math" w:cs="Arial"/>
                                    </w:rPr>
                                    <m:t>ln</m:t>
                                  </m:r>
                                </m:fName>
                                <m:e>
                                  <m:d>
                                    <m:dPr>
                                      <m:ctrlPr>
                                        <w:rPr>
                                          <w:rFonts w:ascii="Cambria Math" w:hAnsi="Cambria Math" w:cs="Arial"/>
                                          <w:i/>
                                          <w:sz w:val="22"/>
                                          <w:szCs w:val="22"/>
                                        </w:rPr>
                                      </m:ctrlPr>
                                    </m:dPr>
                                    <m:e>
                                      <m:sSubSup>
                                        <m:sSubSupPr>
                                          <m:ctrlPr>
                                            <w:rPr>
                                              <w:rFonts w:ascii="Cambria Math" w:hAnsi="Cambria Math" w:cs="Arial"/>
                                              <w:i/>
                                              <w:sz w:val="22"/>
                                              <w:szCs w:val="22"/>
                                            </w:rPr>
                                          </m:ctrlPr>
                                        </m:sSubSupPr>
                                        <m:e>
                                          <m:r>
                                            <w:rPr>
                                              <w:rFonts w:ascii="Cambria Math" w:hAnsi="Cambria Math" w:cs="Arial"/>
                                              <w:sz w:val="22"/>
                                              <w:szCs w:val="22"/>
                                            </w:rPr>
                                            <m:t>RR</m:t>
                                          </m:r>
                                        </m:e>
                                        <m:sub>
                                          <m:r>
                                            <w:rPr>
                                              <w:rFonts w:ascii="Cambria Math" w:hAnsi="Cambria Math" w:cs="Arial"/>
                                              <w:sz w:val="22"/>
                                              <w:szCs w:val="22"/>
                                            </w:rPr>
                                            <m:t>GI,p,a,c≠A,x</m:t>
                                          </m:r>
                                        </m:sub>
                                        <m:sup>
                                          <m:r>
                                            <w:rPr>
                                              <w:rFonts w:ascii="Cambria Math" w:hAnsi="Cambria Math" w:cs="Arial"/>
                                              <w:sz w:val="22"/>
                                              <w:szCs w:val="22"/>
                                            </w:rPr>
                                            <m:t>1</m:t>
                                          </m:r>
                                        </m:sup>
                                      </m:sSubSup>
                                    </m:e>
                                  </m:d>
                                </m:e>
                              </m:func>
                              <m:r>
                                <w:rPr>
                                  <w:rFonts w:ascii="Cambria Math" w:hAnsi="Cambria Math" w:cs="Arial"/>
                                  <w:sz w:val="22"/>
                                  <w:szCs w:val="22"/>
                                </w:rPr>
                                <m:t>+</m:t>
                              </m:r>
                              <m:func>
                                <m:funcPr>
                                  <m:ctrlPr>
                                    <w:rPr>
                                      <w:rFonts w:ascii="Cambria Math" w:hAnsi="Cambria Math" w:cs="Arial"/>
                                      <w:i/>
                                      <w:sz w:val="22"/>
                                      <w:szCs w:val="22"/>
                                    </w:rPr>
                                  </m:ctrlPr>
                                </m:funcPr>
                                <m:fName>
                                  <m:r>
                                    <m:rPr>
                                      <m:sty m:val="p"/>
                                    </m:rPr>
                                    <w:rPr>
                                      <w:rFonts w:ascii="Cambria Math" w:hAnsi="Cambria Math" w:cs="Arial"/>
                                    </w:rPr>
                                    <m:t>ln</m:t>
                                  </m:r>
                                </m:fName>
                                <m:e>
                                  <m:d>
                                    <m:dPr>
                                      <m:ctrlPr>
                                        <w:rPr>
                                          <w:rFonts w:ascii="Cambria Math" w:hAnsi="Cambria Math" w:cs="Arial"/>
                                          <w:i/>
                                          <w:sz w:val="22"/>
                                          <w:szCs w:val="22"/>
                                        </w:rPr>
                                      </m:ctrlPr>
                                    </m:dPr>
                                    <m:e>
                                      <m:sSubSup>
                                        <m:sSubSupPr>
                                          <m:ctrlPr>
                                            <w:rPr>
                                              <w:rFonts w:ascii="Cambria Math" w:hAnsi="Cambria Math" w:cs="Arial"/>
                                              <w:i/>
                                              <w:sz w:val="22"/>
                                              <w:szCs w:val="22"/>
                                            </w:rPr>
                                          </m:ctrlPr>
                                        </m:sSubSupPr>
                                        <m:e>
                                          <m:r>
                                            <w:rPr>
                                              <w:rFonts w:ascii="Cambria Math" w:hAnsi="Cambria Math" w:cs="Arial"/>
                                              <w:sz w:val="22"/>
                                              <w:szCs w:val="22"/>
                                            </w:rPr>
                                            <m:t>RR</m:t>
                                          </m:r>
                                        </m:e>
                                        <m:sub>
                                          <m:r>
                                            <w:rPr>
                                              <w:rFonts w:ascii="Cambria Math" w:hAnsi="Cambria Math" w:cs="Arial"/>
                                              <w:sz w:val="22"/>
                                              <w:szCs w:val="22"/>
                                            </w:rPr>
                                            <m:t>Injury,p,a,c≠A,x</m:t>
                                          </m:r>
                                        </m:sub>
                                        <m:sup>
                                          <m:r>
                                            <w:rPr>
                                              <w:rFonts w:ascii="Cambria Math" w:hAnsi="Cambria Math" w:cs="Arial"/>
                                              <w:sz w:val="22"/>
                                              <w:szCs w:val="22"/>
                                            </w:rPr>
                                            <m:t>1</m:t>
                                          </m:r>
                                        </m:sup>
                                      </m:sSubSup>
                                    </m:e>
                                  </m:d>
                                </m:e>
                              </m:func>
                            </m:num>
                            <m:den>
                              <m:r>
                                <w:rPr>
                                  <w:rFonts w:ascii="Cambria Math" w:hAnsi="Cambria Math" w:cs="Arial"/>
                                  <w:sz w:val="22"/>
                                  <w:szCs w:val="22"/>
                                </w:rPr>
                                <m:t>3</m:t>
                              </m:r>
                            </m:den>
                          </m:f>
                        </m:e>
                      </m:d>
                    </m:sup>
                  </m:sSup>
                  <m:r>
                    <w:rPr>
                      <w:rFonts w:ascii="Cambria Math" w:hAnsi="Cambria Math" w:cs="Arial"/>
                      <w:sz w:val="22"/>
                      <w:szCs w:val="22"/>
                    </w:rPr>
                    <m:t xml:space="preserve">                              z=All</m:t>
                  </m:r>
                </m:e>
              </m:eqArr>
            </m:e>
          </m:d>
          <m:r>
            <m:rPr>
              <m:nor/>
            </m:rPr>
            <w:rPr>
              <w:rFonts w:ascii="Cambria Math" w:hAnsi="Cambria Math" w:cs="Arial"/>
              <w:sz w:val="22"/>
              <w:szCs w:val="22"/>
            </w:rPr>
            <m:t>.</m:t>
          </m:r>
        </m:oMath>
      </m:oMathPara>
    </w:p>
    <w:p w:rsidR="00F679BF" w:rsidRDefault="00993E55" w:rsidP="00A04ED5">
      <w:pPr>
        <w:spacing w:after="0" w:line="480" w:lineRule="auto"/>
        <w:ind w:firstLine="720"/>
        <w:rPr>
          <w:rFonts w:ascii="Arial" w:hAnsi="Arial" w:cs="Arial"/>
          <w:sz w:val="22"/>
          <w:szCs w:val="22"/>
        </w:rPr>
      </w:pPr>
      <w:r>
        <w:rPr>
          <w:rFonts w:ascii="Arial" w:hAnsi="Arial" w:cs="Arial"/>
          <w:sz w:val="22"/>
          <w:szCs w:val="22"/>
        </w:rPr>
        <w:lastRenderedPageBreak/>
        <w:t>Ninety-five percent confidence intervals for bias-corrected relative risk esti</w:t>
      </w:r>
      <w:r w:rsidR="00B94364">
        <w:rPr>
          <w:rFonts w:ascii="Arial" w:hAnsi="Arial" w:cs="Arial"/>
          <w:sz w:val="22"/>
          <w:szCs w:val="22"/>
        </w:rPr>
        <w:t xml:space="preserve">mates are estimated using a </w:t>
      </w:r>
      <w:r>
        <w:rPr>
          <w:rFonts w:ascii="Arial" w:hAnsi="Arial" w:cs="Arial"/>
          <w:sz w:val="22"/>
          <w:szCs w:val="22"/>
        </w:rPr>
        <w:t>parametric bootstrapping proc</w:t>
      </w:r>
      <w:r w:rsidR="00A634F8">
        <w:rPr>
          <w:rFonts w:ascii="Arial" w:hAnsi="Arial" w:cs="Arial"/>
          <w:sz w:val="22"/>
          <w:szCs w:val="22"/>
        </w:rPr>
        <w:t>edure</w:t>
      </w:r>
      <w:r w:rsidR="00AD621C" w:rsidRPr="00AD621C">
        <w:rPr>
          <w:rFonts w:ascii="Arial" w:hAnsi="Arial" w:cs="Arial"/>
          <w:noProof/>
          <w:sz w:val="22"/>
          <w:szCs w:val="22"/>
          <w:vertAlign w:val="superscript"/>
        </w:rPr>
        <w:t>19</w:t>
      </w:r>
      <w:r w:rsidR="00B15A88">
        <w:rPr>
          <w:rFonts w:ascii="Arial" w:hAnsi="Arial" w:cs="Arial"/>
          <w:sz w:val="22"/>
          <w:szCs w:val="22"/>
        </w:rPr>
        <w:t xml:space="preserve"> that</w:t>
      </w:r>
      <w:r w:rsidR="00F613A0">
        <w:rPr>
          <w:rFonts w:ascii="Arial" w:hAnsi="Arial" w:cs="Arial"/>
          <w:sz w:val="22"/>
          <w:szCs w:val="22"/>
        </w:rPr>
        <w:t xml:space="preserve"> </w:t>
      </w:r>
      <w:r w:rsidR="00B15A88">
        <w:rPr>
          <w:rFonts w:ascii="Arial" w:hAnsi="Arial" w:cs="Arial"/>
          <w:sz w:val="22"/>
          <w:szCs w:val="22"/>
        </w:rPr>
        <w:t>resamples</w:t>
      </w:r>
      <w:r w:rsidR="00EC64C2">
        <w:rPr>
          <w:rFonts w:ascii="Arial" w:hAnsi="Arial" w:cs="Arial"/>
          <w:sz w:val="22"/>
          <w:szCs w:val="22"/>
        </w:rPr>
        <w:t xml:space="preserve"> with replacement</w:t>
      </w:r>
      <w:r w:rsidR="0042231B">
        <w:rPr>
          <w:rFonts w:ascii="Arial" w:hAnsi="Arial" w:cs="Arial"/>
          <w:sz w:val="22"/>
          <w:szCs w:val="22"/>
        </w:rPr>
        <w:t xml:space="preserve"> the number of cases of each outcome within strata defined by</w:t>
      </w:r>
      <w:r w:rsidR="000761CB">
        <w:rPr>
          <w:rFonts w:ascii="Arial" w:hAnsi="Arial" w:cs="Arial"/>
          <w:sz w:val="22"/>
          <w:szCs w:val="22"/>
        </w:rPr>
        <w:t xml:space="preserve"> epidemic</w:t>
      </w:r>
      <w:r w:rsidR="0042231B">
        <w:rPr>
          <w:rFonts w:ascii="Arial" w:hAnsi="Arial" w:cs="Arial"/>
          <w:sz w:val="22"/>
          <w:szCs w:val="22"/>
        </w:rPr>
        <w:t xml:space="preserve"> period and geographic area</w:t>
      </w:r>
      <w:r w:rsidR="00567104">
        <w:rPr>
          <w:rFonts w:ascii="Arial" w:hAnsi="Arial" w:cs="Arial"/>
          <w:sz w:val="22"/>
          <w:szCs w:val="22"/>
        </w:rPr>
        <w:t xml:space="preserve">. </w:t>
      </w:r>
      <w:r w:rsidR="00EC64C2">
        <w:rPr>
          <w:rFonts w:ascii="Arial" w:hAnsi="Arial" w:cs="Arial"/>
          <w:sz w:val="22"/>
          <w:szCs w:val="22"/>
        </w:rPr>
        <w:t>T</w:t>
      </w:r>
      <w:r w:rsidR="00F613A0">
        <w:rPr>
          <w:rFonts w:ascii="Arial" w:hAnsi="Arial" w:cs="Arial"/>
          <w:sz w:val="22"/>
          <w:szCs w:val="22"/>
        </w:rPr>
        <w:t>wo hundred s</w:t>
      </w:r>
      <w:r w:rsidR="0042231B">
        <w:rPr>
          <w:rFonts w:ascii="Arial" w:hAnsi="Arial" w:cs="Arial"/>
          <w:sz w:val="22"/>
          <w:szCs w:val="22"/>
        </w:rPr>
        <w:t>amples are drawn from a</w:t>
      </w:r>
      <w:r w:rsidR="00B15A88">
        <w:rPr>
          <w:rFonts w:ascii="Arial" w:hAnsi="Arial" w:cs="Arial"/>
          <w:sz w:val="22"/>
          <w:szCs w:val="22"/>
        </w:rPr>
        <w:t xml:space="preserve"> binomial probability distribution with mean equal to the</w:t>
      </w:r>
      <w:r w:rsidR="00EC64C2">
        <w:rPr>
          <w:rFonts w:ascii="Arial" w:hAnsi="Arial" w:cs="Arial"/>
          <w:sz w:val="22"/>
          <w:szCs w:val="22"/>
        </w:rPr>
        <w:t xml:space="preserve"> </w:t>
      </w:r>
      <w:r w:rsidR="0042231B">
        <w:rPr>
          <w:rFonts w:ascii="Arial" w:hAnsi="Arial" w:cs="Arial"/>
          <w:sz w:val="22"/>
          <w:szCs w:val="22"/>
        </w:rPr>
        <w:t>a</w:t>
      </w:r>
      <w:r w:rsidR="00F613A0">
        <w:rPr>
          <w:rFonts w:ascii="Arial" w:hAnsi="Arial" w:cs="Arial"/>
          <w:sz w:val="22"/>
          <w:szCs w:val="22"/>
        </w:rPr>
        <w:t>ttack rate</w:t>
      </w:r>
      <w:r w:rsidR="00EC64C2">
        <w:rPr>
          <w:rFonts w:ascii="Arial" w:hAnsi="Arial" w:cs="Arial"/>
          <w:sz w:val="22"/>
          <w:szCs w:val="22"/>
        </w:rPr>
        <w:t xml:space="preserve"> observed within each geographic area during an epidemic season</w:t>
      </w:r>
      <w:r>
        <w:rPr>
          <w:rFonts w:ascii="Arial" w:hAnsi="Arial" w:cs="Arial"/>
          <w:sz w:val="22"/>
          <w:szCs w:val="22"/>
        </w:rPr>
        <w:t>.</w:t>
      </w:r>
    </w:p>
    <w:p w:rsidR="00832682" w:rsidRPr="00700738" w:rsidRDefault="00C04513" w:rsidP="00A04ED5">
      <w:pPr>
        <w:spacing w:after="0" w:line="480" w:lineRule="auto"/>
        <w:rPr>
          <w:rFonts w:ascii="Arial" w:hAnsi="Arial" w:cs="Arial"/>
          <w:b/>
          <w:sz w:val="22"/>
          <w:szCs w:val="22"/>
        </w:rPr>
      </w:pPr>
      <w:r>
        <w:rPr>
          <w:rFonts w:ascii="Arial" w:hAnsi="Arial" w:cs="Arial"/>
          <w:b/>
          <w:sz w:val="22"/>
          <w:szCs w:val="22"/>
        </w:rPr>
        <w:t xml:space="preserve">A.2. </w:t>
      </w:r>
      <w:r w:rsidR="00151B69">
        <w:rPr>
          <w:rFonts w:ascii="Arial" w:hAnsi="Arial" w:cs="Arial"/>
          <w:b/>
          <w:sz w:val="22"/>
          <w:szCs w:val="22"/>
        </w:rPr>
        <w:t>Results</w:t>
      </w:r>
    </w:p>
    <w:p w:rsidR="00FB78C3" w:rsidRDefault="00521D91" w:rsidP="00A04ED5">
      <w:pPr>
        <w:spacing w:after="0" w:line="480" w:lineRule="auto"/>
        <w:ind w:firstLine="720"/>
        <w:rPr>
          <w:rFonts w:ascii="Arial" w:hAnsi="Arial" w:cs="Arial"/>
          <w:sz w:val="22"/>
          <w:szCs w:val="22"/>
        </w:rPr>
      </w:pPr>
      <w:r>
        <w:rPr>
          <w:rFonts w:ascii="Arial" w:hAnsi="Arial" w:cs="Arial"/>
          <w:sz w:val="22"/>
          <w:szCs w:val="22"/>
        </w:rPr>
        <w:t>The w</w:t>
      </w:r>
      <w:r w:rsidR="0084277E">
        <w:rPr>
          <w:rFonts w:ascii="Arial" w:hAnsi="Arial" w:cs="Arial"/>
          <w:sz w:val="22"/>
          <w:szCs w:val="22"/>
        </w:rPr>
        <w:t>eekly rates of the outpatient visits</w:t>
      </w:r>
      <w:r>
        <w:rPr>
          <w:rFonts w:ascii="Arial" w:hAnsi="Arial" w:cs="Arial"/>
          <w:sz w:val="22"/>
          <w:szCs w:val="22"/>
        </w:rPr>
        <w:t xml:space="preserve"> per 100,000 residents</w:t>
      </w:r>
      <w:r w:rsidR="0084277E">
        <w:rPr>
          <w:rFonts w:ascii="Arial" w:hAnsi="Arial" w:cs="Arial"/>
          <w:sz w:val="22"/>
          <w:szCs w:val="22"/>
        </w:rPr>
        <w:t xml:space="preserve"> for </w:t>
      </w:r>
      <w:r w:rsidR="00D9792B">
        <w:rPr>
          <w:rFonts w:ascii="Arial" w:hAnsi="Arial" w:cs="Arial"/>
          <w:sz w:val="22"/>
          <w:szCs w:val="22"/>
        </w:rPr>
        <w:t>each of the study outcomes (primary and negative controls) and for</w:t>
      </w:r>
      <w:r w:rsidR="0084277E">
        <w:rPr>
          <w:rFonts w:ascii="Arial" w:hAnsi="Arial" w:cs="Arial"/>
          <w:sz w:val="22"/>
          <w:szCs w:val="22"/>
        </w:rPr>
        <w:t xml:space="preserve"> </w:t>
      </w:r>
      <w:r w:rsidR="00C920E6">
        <w:rPr>
          <w:rFonts w:ascii="Arial" w:hAnsi="Arial" w:cs="Arial"/>
          <w:sz w:val="22"/>
          <w:szCs w:val="22"/>
        </w:rPr>
        <w:t xml:space="preserve">all outpatient visits to a sentinel facility </w:t>
      </w:r>
      <w:r w:rsidR="0084277E">
        <w:rPr>
          <w:rFonts w:ascii="Arial" w:hAnsi="Arial" w:cs="Arial"/>
          <w:sz w:val="22"/>
          <w:szCs w:val="22"/>
        </w:rPr>
        <w:t xml:space="preserve">vary </w:t>
      </w:r>
      <w:r w:rsidR="00482FB5">
        <w:rPr>
          <w:rFonts w:ascii="Arial" w:hAnsi="Arial" w:cs="Arial"/>
          <w:sz w:val="22"/>
          <w:szCs w:val="22"/>
        </w:rPr>
        <w:t>between</w:t>
      </w:r>
      <w:r w:rsidR="0084277E">
        <w:rPr>
          <w:rFonts w:ascii="Arial" w:hAnsi="Arial" w:cs="Arial"/>
          <w:sz w:val="22"/>
          <w:szCs w:val="22"/>
        </w:rPr>
        <w:t xml:space="preserve"> Alachua Coun</w:t>
      </w:r>
      <w:r w:rsidR="00274FEE">
        <w:rPr>
          <w:rFonts w:ascii="Arial" w:hAnsi="Arial" w:cs="Arial"/>
          <w:sz w:val="22"/>
          <w:szCs w:val="22"/>
        </w:rPr>
        <w:t>ty and the comparison areas</w:t>
      </w:r>
      <w:r w:rsidR="00567104">
        <w:rPr>
          <w:rFonts w:ascii="Arial" w:hAnsi="Arial" w:cs="Arial"/>
          <w:sz w:val="22"/>
          <w:szCs w:val="22"/>
        </w:rPr>
        <w:t xml:space="preserve">. </w:t>
      </w:r>
      <w:r w:rsidR="00FB2E38">
        <w:rPr>
          <w:rFonts w:ascii="Arial" w:hAnsi="Arial" w:cs="Arial"/>
          <w:sz w:val="22"/>
          <w:szCs w:val="22"/>
        </w:rPr>
        <w:t>Within each area, t</w:t>
      </w:r>
      <w:r w:rsidR="0084277E">
        <w:rPr>
          <w:rFonts w:ascii="Arial" w:hAnsi="Arial" w:cs="Arial"/>
          <w:sz w:val="22"/>
          <w:szCs w:val="22"/>
        </w:rPr>
        <w:t>he</w:t>
      </w:r>
      <w:r w:rsidR="0026674A">
        <w:rPr>
          <w:rFonts w:ascii="Arial" w:hAnsi="Arial" w:cs="Arial"/>
          <w:sz w:val="22"/>
          <w:szCs w:val="22"/>
        </w:rPr>
        <w:t>se</w:t>
      </w:r>
      <w:r w:rsidR="0084277E">
        <w:rPr>
          <w:rFonts w:ascii="Arial" w:hAnsi="Arial" w:cs="Arial"/>
          <w:sz w:val="22"/>
          <w:szCs w:val="22"/>
        </w:rPr>
        <w:t xml:space="preserve"> rates </w:t>
      </w:r>
      <w:r>
        <w:rPr>
          <w:rFonts w:ascii="Arial" w:hAnsi="Arial" w:cs="Arial"/>
          <w:sz w:val="22"/>
          <w:szCs w:val="22"/>
        </w:rPr>
        <w:t xml:space="preserve">also </w:t>
      </w:r>
      <w:r w:rsidR="0084277E">
        <w:rPr>
          <w:rFonts w:ascii="Arial" w:hAnsi="Arial" w:cs="Arial"/>
          <w:sz w:val="22"/>
          <w:szCs w:val="22"/>
        </w:rPr>
        <w:t>vary over time</w:t>
      </w:r>
      <w:r w:rsidR="006F128F">
        <w:rPr>
          <w:rFonts w:ascii="Arial" w:hAnsi="Arial" w:cs="Arial"/>
          <w:sz w:val="22"/>
          <w:szCs w:val="22"/>
        </w:rPr>
        <w:t xml:space="preserve"> and between </w:t>
      </w:r>
      <w:r w:rsidR="00E6712B">
        <w:rPr>
          <w:rFonts w:ascii="Arial" w:hAnsi="Arial" w:cs="Arial"/>
          <w:sz w:val="22"/>
          <w:szCs w:val="22"/>
        </w:rPr>
        <w:t>age-group</w:t>
      </w:r>
      <w:r w:rsidR="006F128F">
        <w:rPr>
          <w:rFonts w:ascii="Arial" w:hAnsi="Arial" w:cs="Arial"/>
          <w:sz w:val="22"/>
          <w:szCs w:val="22"/>
        </w:rPr>
        <w:t>s</w:t>
      </w:r>
      <w:r w:rsidR="00567104">
        <w:rPr>
          <w:rFonts w:ascii="Arial" w:hAnsi="Arial" w:cs="Arial"/>
          <w:sz w:val="22"/>
          <w:szCs w:val="22"/>
        </w:rPr>
        <w:t xml:space="preserve">. </w:t>
      </w:r>
      <w:r w:rsidR="0024304D">
        <w:rPr>
          <w:rFonts w:ascii="Arial" w:hAnsi="Arial" w:cs="Arial"/>
          <w:sz w:val="22"/>
          <w:szCs w:val="22"/>
        </w:rPr>
        <w:t xml:space="preserve">Outpatient visit rates </w:t>
      </w:r>
      <w:r w:rsidR="00DC1006">
        <w:rPr>
          <w:rFonts w:ascii="Arial" w:hAnsi="Arial" w:cs="Arial"/>
          <w:sz w:val="22"/>
          <w:szCs w:val="22"/>
        </w:rPr>
        <w:t xml:space="preserve">demonstrate distinct seasonality </w:t>
      </w:r>
      <w:r w:rsidR="0024304D">
        <w:rPr>
          <w:rFonts w:ascii="Arial" w:hAnsi="Arial" w:cs="Arial"/>
          <w:sz w:val="22"/>
          <w:szCs w:val="22"/>
        </w:rPr>
        <w:t>for ILI and other respiratory illness</w:t>
      </w:r>
      <w:r w:rsidR="00DC1006">
        <w:rPr>
          <w:rFonts w:ascii="Arial" w:hAnsi="Arial" w:cs="Arial"/>
          <w:sz w:val="22"/>
          <w:szCs w:val="22"/>
        </w:rPr>
        <w:t>, but not for the</w:t>
      </w:r>
      <w:r w:rsidR="00A4596F">
        <w:rPr>
          <w:rFonts w:ascii="Arial" w:hAnsi="Arial" w:cs="Arial"/>
          <w:sz w:val="22"/>
          <w:szCs w:val="22"/>
        </w:rPr>
        <w:t xml:space="preserve"> other outcomes or for all outpatient</w:t>
      </w:r>
      <w:r w:rsidR="0024304D">
        <w:rPr>
          <w:rFonts w:ascii="Arial" w:hAnsi="Arial" w:cs="Arial"/>
          <w:sz w:val="22"/>
          <w:szCs w:val="22"/>
        </w:rPr>
        <w:t xml:space="preserve"> visits</w:t>
      </w:r>
      <w:r w:rsidR="00567104">
        <w:rPr>
          <w:rFonts w:ascii="Arial" w:hAnsi="Arial" w:cs="Arial"/>
          <w:sz w:val="22"/>
          <w:szCs w:val="22"/>
        </w:rPr>
        <w:t xml:space="preserve">. </w:t>
      </w:r>
      <w:r w:rsidR="0024304D">
        <w:rPr>
          <w:rFonts w:ascii="Arial" w:hAnsi="Arial" w:cs="Arial"/>
          <w:sz w:val="22"/>
          <w:szCs w:val="22"/>
        </w:rPr>
        <w:t xml:space="preserve">Among individuals under </w:t>
      </w:r>
      <w:r w:rsidR="00FB2E38">
        <w:rPr>
          <w:rFonts w:ascii="Arial" w:hAnsi="Arial" w:cs="Arial"/>
          <w:sz w:val="22"/>
          <w:szCs w:val="22"/>
        </w:rPr>
        <w:t xml:space="preserve">18 </w:t>
      </w:r>
      <w:r w:rsidR="0024304D">
        <w:rPr>
          <w:rFonts w:ascii="Arial" w:hAnsi="Arial" w:cs="Arial"/>
          <w:sz w:val="22"/>
          <w:szCs w:val="22"/>
        </w:rPr>
        <w:t>years-olds</w:t>
      </w:r>
      <w:r w:rsidR="00DF2BF9">
        <w:rPr>
          <w:rFonts w:ascii="Arial" w:hAnsi="Arial" w:cs="Arial"/>
          <w:sz w:val="22"/>
          <w:szCs w:val="22"/>
        </w:rPr>
        <w:t xml:space="preserve"> (figure S2 and S3)</w:t>
      </w:r>
      <w:r w:rsidR="0024304D">
        <w:rPr>
          <w:rFonts w:ascii="Arial" w:hAnsi="Arial" w:cs="Arial"/>
          <w:sz w:val="22"/>
          <w:szCs w:val="22"/>
        </w:rPr>
        <w:t>, t</w:t>
      </w:r>
      <w:r w:rsidR="0026674A">
        <w:rPr>
          <w:rFonts w:ascii="Arial" w:hAnsi="Arial" w:cs="Arial"/>
          <w:sz w:val="22"/>
          <w:szCs w:val="22"/>
        </w:rPr>
        <w:t>he unadj</w:t>
      </w:r>
      <w:r w:rsidR="0024304D">
        <w:rPr>
          <w:rFonts w:ascii="Arial" w:hAnsi="Arial" w:cs="Arial"/>
          <w:sz w:val="22"/>
          <w:szCs w:val="22"/>
        </w:rPr>
        <w:t>usted weekly attack rates for</w:t>
      </w:r>
      <w:r w:rsidR="0026674A">
        <w:rPr>
          <w:rFonts w:ascii="Arial" w:hAnsi="Arial" w:cs="Arial"/>
          <w:sz w:val="22"/>
          <w:szCs w:val="22"/>
        </w:rPr>
        <w:t xml:space="preserve"> ILI-associated outpatient visits</w:t>
      </w:r>
      <w:r w:rsidR="0024304D">
        <w:rPr>
          <w:rFonts w:ascii="Arial" w:hAnsi="Arial" w:cs="Arial"/>
          <w:sz w:val="22"/>
          <w:szCs w:val="22"/>
        </w:rPr>
        <w:t xml:space="preserve"> are distinctly lower among Alachua County residents</w:t>
      </w:r>
      <w:r w:rsidR="00FB2E38">
        <w:rPr>
          <w:rFonts w:ascii="Arial" w:hAnsi="Arial" w:cs="Arial"/>
          <w:sz w:val="22"/>
          <w:szCs w:val="22"/>
        </w:rPr>
        <w:t xml:space="preserve"> relative to</w:t>
      </w:r>
      <w:r w:rsidR="00274FEE">
        <w:rPr>
          <w:rFonts w:ascii="Arial" w:hAnsi="Arial" w:cs="Arial"/>
          <w:sz w:val="22"/>
          <w:szCs w:val="22"/>
        </w:rPr>
        <w:t xml:space="preserve"> both comparison areas</w:t>
      </w:r>
      <w:r w:rsidR="00FB2E38">
        <w:rPr>
          <w:rFonts w:ascii="Arial" w:hAnsi="Arial" w:cs="Arial"/>
          <w:sz w:val="22"/>
          <w:szCs w:val="22"/>
        </w:rPr>
        <w:t xml:space="preserve">, and this difference is less pronounced for the other outcomes and </w:t>
      </w:r>
      <w:r w:rsidR="00A4596F">
        <w:rPr>
          <w:rFonts w:ascii="Arial" w:hAnsi="Arial" w:cs="Arial"/>
          <w:sz w:val="22"/>
          <w:szCs w:val="22"/>
        </w:rPr>
        <w:t xml:space="preserve">for all outpatient </w:t>
      </w:r>
      <w:r w:rsidR="00274FEE">
        <w:rPr>
          <w:rFonts w:ascii="Arial" w:hAnsi="Arial" w:cs="Arial"/>
          <w:sz w:val="22"/>
          <w:szCs w:val="22"/>
        </w:rPr>
        <w:t>visits</w:t>
      </w:r>
      <w:r w:rsidR="00567104">
        <w:rPr>
          <w:rFonts w:ascii="Arial" w:hAnsi="Arial" w:cs="Arial"/>
          <w:sz w:val="22"/>
          <w:szCs w:val="22"/>
        </w:rPr>
        <w:t xml:space="preserve">. </w:t>
      </w:r>
      <w:r w:rsidR="00FB2E38">
        <w:rPr>
          <w:rFonts w:ascii="Arial" w:hAnsi="Arial" w:cs="Arial"/>
          <w:sz w:val="22"/>
          <w:szCs w:val="22"/>
        </w:rPr>
        <w:t>Among young adults 18-44 years-of-age</w:t>
      </w:r>
      <w:r w:rsidR="00831493">
        <w:rPr>
          <w:rFonts w:ascii="Arial" w:hAnsi="Arial" w:cs="Arial"/>
          <w:sz w:val="22"/>
          <w:szCs w:val="22"/>
        </w:rPr>
        <w:t>,</w:t>
      </w:r>
      <w:r w:rsidR="00220149">
        <w:rPr>
          <w:rFonts w:ascii="Arial" w:hAnsi="Arial" w:cs="Arial"/>
          <w:sz w:val="22"/>
          <w:szCs w:val="22"/>
        </w:rPr>
        <w:t xml:space="preserve"> which</w:t>
      </w:r>
      <w:r w:rsidR="00831493">
        <w:rPr>
          <w:rFonts w:ascii="Arial" w:hAnsi="Arial" w:cs="Arial"/>
          <w:sz w:val="22"/>
          <w:szCs w:val="22"/>
        </w:rPr>
        <w:t xml:space="preserve"> includes</w:t>
      </w:r>
      <w:r w:rsidR="00220149">
        <w:rPr>
          <w:rFonts w:ascii="Arial" w:hAnsi="Arial" w:cs="Arial"/>
          <w:sz w:val="22"/>
          <w:szCs w:val="22"/>
        </w:rPr>
        <w:t xml:space="preserve"> Alachua County’s large university student population</w:t>
      </w:r>
      <w:r w:rsidR="00831493">
        <w:rPr>
          <w:rFonts w:ascii="Arial" w:hAnsi="Arial" w:cs="Arial"/>
          <w:sz w:val="22"/>
          <w:szCs w:val="22"/>
        </w:rPr>
        <w:t>,</w:t>
      </w:r>
      <w:r w:rsidR="00FB2E38">
        <w:rPr>
          <w:rFonts w:ascii="Arial" w:hAnsi="Arial" w:cs="Arial"/>
          <w:sz w:val="22"/>
          <w:szCs w:val="22"/>
        </w:rPr>
        <w:t xml:space="preserve"> there are distinctly lower weekly rates in Alachua County relative </w:t>
      </w:r>
      <w:r w:rsidR="00AB67D1">
        <w:rPr>
          <w:rFonts w:ascii="Arial" w:hAnsi="Arial" w:cs="Arial"/>
          <w:sz w:val="22"/>
          <w:szCs w:val="22"/>
        </w:rPr>
        <w:t>to both comparison areas for each of the study</w:t>
      </w:r>
      <w:r w:rsidR="00FB2E38">
        <w:rPr>
          <w:rFonts w:ascii="Arial" w:hAnsi="Arial" w:cs="Arial"/>
          <w:sz w:val="22"/>
          <w:szCs w:val="22"/>
        </w:rPr>
        <w:t xml:space="preserve"> outcomes and </w:t>
      </w:r>
      <w:r w:rsidR="00AB67D1">
        <w:rPr>
          <w:rFonts w:ascii="Arial" w:hAnsi="Arial" w:cs="Arial"/>
          <w:sz w:val="22"/>
          <w:szCs w:val="22"/>
        </w:rPr>
        <w:t xml:space="preserve">for all outpatient </w:t>
      </w:r>
      <w:r w:rsidR="00FB2E38">
        <w:rPr>
          <w:rFonts w:ascii="Arial" w:hAnsi="Arial" w:cs="Arial"/>
          <w:sz w:val="22"/>
          <w:szCs w:val="22"/>
        </w:rPr>
        <w:t>visits</w:t>
      </w:r>
      <w:r w:rsidR="00567104">
        <w:rPr>
          <w:rFonts w:ascii="Arial" w:hAnsi="Arial" w:cs="Arial"/>
          <w:sz w:val="22"/>
          <w:szCs w:val="22"/>
        </w:rPr>
        <w:t xml:space="preserve">. </w:t>
      </w:r>
      <w:r w:rsidR="00DC1006">
        <w:rPr>
          <w:rFonts w:ascii="Arial" w:hAnsi="Arial" w:cs="Arial"/>
          <w:sz w:val="22"/>
          <w:szCs w:val="22"/>
        </w:rPr>
        <w:t>For adults over 44 yea</w:t>
      </w:r>
      <w:r w:rsidR="00274FEE">
        <w:rPr>
          <w:rFonts w:ascii="Arial" w:hAnsi="Arial" w:cs="Arial"/>
          <w:sz w:val="22"/>
          <w:szCs w:val="22"/>
        </w:rPr>
        <w:t>rs-old</w:t>
      </w:r>
      <w:r w:rsidR="00AB67D1">
        <w:rPr>
          <w:rFonts w:ascii="Arial" w:hAnsi="Arial" w:cs="Arial"/>
          <w:sz w:val="22"/>
          <w:szCs w:val="22"/>
        </w:rPr>
        <w:t xml:space="preserve">, </w:t>
      </w:r>
      <w:r w:rsidR="00DC1006">
        <w:rPr>
          <w:rFonts w:ascii="Arial" w:hAnsi="Arial" w:cs="Arial"/>
          <w:sz w:val="22"/>
          <w:szCs w:val="22"/>
        </w:rPr>
        <w:t>differences between Alachua</w:t>
      </w:r>
      <w:r w:rsidR="00AB67D1">
        <w:rPr>
          <w:rFonts w:ascii="Arial" w:hAnsi="Arial" w:cs="Arial"/>
          <w:sz w:val="22"/>
          <w:szCs w:val="22"/>
        </w:rPr>
        <w:t xml:space="preserve"> County</w:t>
      </w:r>
      <w:r w:rsidR="00DC1006">
        <w:rPr>
          <w:rFonts w:ascii="Arial" w:hAnsi="Arial" w:cs="Arial"/>
          <w:sz w:val="22"/>
          <w:szCs w:val="22"/>
        </w:rPr>
        <w:t xml:space="preserve"> and the comparison areas in the rates of </w:t>
      </w:r>
      <w:r w:rsidR="00AB67D1">
        <w:rPr>
          <w:rFonts w:ascii="Arial" w:hAnsi="Arial" w:cs="Arial"/>
          <w:sz w:val="22"/>
          <w:szCs w:val="22"/>
        </w:rPr>
        <w:t>each of the study outcome and all outpatient visits are not very pronounced</w:t>
      </w:r>
      <w:r w:rsidR="00567104">
        <w:rPr>
          <w:rFonts w:ascii="Arial" w:hAnsi="Arial" w:cs="Arial"/>
          <w:sz w:val="22"/>
          <w:szCs w:val="22"/>
        </w:rPr>
        <w:t xml:space="preserve">. </w:t>
      </w:r>
      <w:r w:rsidR="00680489">
        <w:rPr>
          <w:rFonts w:ascii="Arial" w:hAnsi="Arial" w:cs="Arial"/>
          <w:sz w:val="22"/>
          <w:szCs w:val="22"/>
        </w:rPr>
        <w:t>When considering the rates of the study outcomes and of all outpatient visits</w:t>
      </w:r>
      <w:r w:rsidR="00887CFD">
        <w:rPr>
          <w:rFonts w:ascii="Arial" w:hAnsi="Arial" w:cs="Arial"/>
          <w:sz w:val="22"/>
          <w:szCs w:val="22"/>
        </w:rPr>
        <w:t xml:space="preserve"> among individuals of any age</w:t>
      </w:r>
      <w:r w:rsidR="00680489">
        <w:rPr>
          <w:rFonts w:ascii="Arial" w:hAnsi="Arial" w:cs="Arial"/>
          <w:sz w:val="22"/>
          <w:szCs w:val="22"/>
        </w:rPr>
        <w:t>, the temporal and spatial patterns are similar to those observed among individuals u</w:t>
      </w:r>
      <w:r w:rsidR="00274FEE">
        <w:rPr>
          <w:rFonts w:ascii="Arial" w:hAnsi="Arial" w:cs="Arial"/>
          <w:sz w:val="22"/>
          <w:szCs w:val="22"/>
        </w:rPr>
        <w:t>nder 18 years of age</w:t>
      </w:r>
      <w:r w:rsidR="00680489">
        <w:rPr>
          <w:rFonts w:ascii="Arial" w:hAnsi="Arial" w:cs="Arial"/>
          <w:sz w:val="22"/>
          <w:szCs w:val="22"/>
        </w:rPr>
        <w:t>.</w:t>
      </w:r>
    </w:p>
    <w:p w:rsidR="00274FEE" w:rsidRDefault="008A4C72" w:rsidP="00274FEE">
      <w:pPr>
        <w:spacing w:after="0" w:line="480" w:lineRule="auto"/>
        <w:ind w:firstLine="720"/>
        <w:rPr>
          <w:rFonts w:ascii="Arial" w:hAnsi="Arial" w:cs="Arial"/>
          <w:sz w:val="22"/>
          <w:szCs w:val="22"/>
        </w:rPr>
      </w:pPr>
      <w:r>
        <w:rPr>
          <w:rFonts w:ascii="Arial" w:hAnsi="Arial" w:cs="Arial"/>
          <w:sz w:val="22"/>
          <w:szCs w:val="22"/>
        </w:rPr>
        <w:t>The</w:t>
      </w:r>
      <w:r w:rsidR="00C90269">
        <w:rPr>
          <w:rFonts w:ascii="Arial" w:hAnsi="Arial" w:cs="Arial"/>
          <w:sz w:val="22"/>
          <w:szCs w:val="22"/>
        </w:rPr>
        <w:t xml:space="preserve"> visit-rate</w:t>
      </w:r>
      <w:r>
        <w:rPr>
          <w:rFonts w:ascii="Arial" w:hAnsi="Arial" w:cs="Arial"/>
          <w:sz w:val="22"/>
          <w:szCs w:val="22"/>
        </w:rPr>
        <w:t xml:space="preserve"> standardization procedure affected the value of the relative risk estimate</w:t>
      </w:r>
      <w:r w:rsidR="00274FEE">
        <w:rPr>
          <w:rFonts w:ascii="Arial" w:hAnsi="Arial" w:cs="Arial"/>
          <w:sz w:val="22"/>
          <w:szCs w:val="22"/>
        </w:rPr>
        <w:t xml:space="preserve">. </w:t>
      </w:r>
      <w:r>
        <w:rPr>
          <w:rFonts w:ascii="Arial" w:hAnsi="Arial" w:cs="Arial"/>
          <w:sz w:val="22"/>
          <w:szCs w:val="22"/>
        </w:rPr>
        <w:t>Sinc</w:t>
      </w:r>
      <w:r w:rsidR="00407036">
        <w:rPr>
          <w:rFonts w:ascii="Arial" w:hAnsi="Arial" w:cs="Arial"/>
          <w:sz w:val="22"/>
          <w:szCs w:val="22"/>
        </w:rPr>
        <w:t>e the direction and</w:t>
      </w:r>
      <w:r>
        <w:rPr>
          <w:rFonts w:ascii="Arial" w:hAnsi="Arial" w:cs="Arial"/>
          <w:sz w:val="22"/>
          <w:szCs w:val="22"/>
        </w:rPr>
        <w:t xml:space="preserve"> the magnitude of the shift in t</w:t>
      </w:r>
      <w:r w:rsidR="00407036">
        <w:rPr>
          <w:rFonts w:ascii="Arial" w:hAnsi="Arial" w:cs="Arial"/>
          <w:sz w:val="22"/>
          <w:szCs w:val="22"/>
        </w:rPr>
        <w:t>he value of the relative risk are</w:t>
      </w:r>
      <w:r>
        <w:rPr>
          <w:rFonts w:ascii="Arial" w:hAnsi="Arial" w:cs="Arial"/>
          <w:sz w:val="22"/>
          <w:szCs w:val="22"/>
        </w:rPr>
        <w:t xml:space="preserve"> consistent for a given age-</w:t>
      </w:r>
      <w:r w:rsidR="00407036">
        <w:rPr>
          <w:rFonts w:ascii="Arial" w:hAnsi="Arial" w:cs="Arial"/>
          <w:sz w:val="22"/>
          <w:szCs w:val="22"/>
        </w:rPr>
        <w:t>group within a</w:t>
      </w:r>
      <w:r w:rsidR="00923533">
        <w:rPr>
          <w:rFonts w:ascii="Arial" w:hAnsi="Arial" w:cs="Arial"/>
          <w:sz w:val="22"/>
          <w:szCs w:val="22"/>
        </w:rPr>
        <w:t xml:space="preserve"> comparison area, </w:t>
      </w:r>
      <w:r w:rsidR="007344E4">
        <w:rPr>
          <w:rFonts w:ascii="Arial" w:hAnsi="Arial" w:cs="Arial"/>
          <w:sz w:val="22"/>
          <w:szCs w:val="22"/>
        </w:rPr>
        <w:t xml:space="preserve">all bias-corrected relative risk and effectiveness estimates will be </w:t>
      </w:r>
      <w:r w:rsidR="00923533">
        <w:rPr>
          <w:rFonts w:ascii="Arial" w:hAnsi="Arial" w:cs="Arial"/>
          <w:sz w:val="22"/>
          <w:szCs w:val="22"/>
        </w:rPr>
        <w:t>visit-rate</w:t>
      </w:r>
      <w:r>
        <w:rPr>
          <w:rFonts w:ascii="Arial" w:hAnsi="Arial" w:cs="Arial"/>
          <w:sz w:val="22"/>
          <w:szCs w:val="22"/>
        </w:rPr>
        <w:t xml:space="preserve"> standardized.</w:t>
      </w:r>
      <w:r w:rsidR="00274FEE">
        <w:rPr>
          <w:rFonts w:ascii="Arial" w:hAnsi="Arial" w:cs="Arial"/>
          <w:sz w:val="22"/>
          <w:szCs w:val="22"/>
        </w:rPr>
        <w:t xml:space="preserve"> </w:t>
      </w:r>
    </w:p>
    <w:p w:rsidR="00B92B0C" w:rsidRDefault="00274FEE" w:rsidP="00B92B0C">
      <w:pPr>
        <w:spacing w:after="0" w:line="480" w:lineRule="auto"/>
        <w:ind w:firstLine="720"/>
        <w:rPr>
          <w:rFonts w:ascii="Arial" w:hAnsi="Arial" w:cs="Arial"/>
          <w:sz w:val="22"/>
          <w:szCs w:val="22"/>
        </w:rPr>
      </w:pPr>
      <w:r>
        <w:rPr>
          <w:rFonts w:ascii="Arial" w:hAnsi="Arial" w:cs="Arial"/>
          <w:sz w:val="22"/>
          <w:szCs w:val="22"/>
        </w:rPr>
        <w:lastRenderedPageBreak/>
        <w:t>T</w:t>
      </w:r>
      <w:r w:rsidR="006904A8">
        <w:rPr>
          <w:rFonts w:ascii="Arial" w:hAnsi="Arial" w:cs="Arial"/>
          <w:sz w:val="22"/>
          <w:szCs w:val="22"/>
        </w:rPr>
        <w:t xml:space="preserve">he visit-rate standardized </w:t>
      </w:r>
      <w:r w:rsidR="00B30BA4">
        <w:rPr>
          <w:rFonts w:ascii="Arial" w:hAnsi="Arial" w:cs="Arial"/>
          <w:sz w:val="22"/>
          <w:szCs w:val="22"/>
        </w:rPr>
        <w:t xml:space="preserve">unadjusted </w:t>
      </w:r>
      <w:r w:rsidR="006904A8">
        <w:rPr>
          <w:rFonts w:ascii="Arial" w:hAnsi="Arial" w:cs="Arial"/>
          <w:sz w:val="22"/>
          <w:szCs w:val="22"/>
        </w:rPr>
        <w:t>relative risk estimates for each of the primary and negative control outcomes</w:t>
      </w:r>
      <w:r w:rsidR="007344E4">
        <w:rPr>
          <w:rFonts w:ascii="Arial" w:hAnsi="Arial" w:cs="Arial"/>
          <w:sz w:val="22"/>
          <w:szCs w:val="22"/>
        </w:rPr>
        <w:t xml:space="preserve"> by age-group and </w:t>
      </w:r>
      <w:r w:rsidR="006904A8">
        <w:rPr>
          <w:rFonts w:ascii="Arial" w:hAnsi="Arial" w:cs="Arial"/>
          <w:sz w:val="22"/>
          <w:szCs w:val="22"/>
        </w:rPr>
        <w:t>comparison area</w:t>
      </w:r>
      <w:r w:rsidR="00567104">
        <w:rPr>
          <w:rFonts w:ascii="Arial" w:hAnsi="Arial" w:cs="Arial"/>
          <w:sz w:val="22"/>
          <w:szCs w:val="22"/>
        </w:rPr>
        <w:t xml:space="preserve">. </w:t>
      </w:r>
      <w:r w:rsidR="0035248E">
        <w:rPr>
          <w:rFonts w:ascii="Arial" w:hAnsi="Arial" w:cs="Arial"/>
          <w:sz w:val="22"/>
          <w:szCs w:val="22"/>
        </w:rPr>
        <w:t>Amon</w:t>
      </w:r>
      <w:r w:rsidR="00167180">
        <w:rPr>
          <w:rFonts w:ascii="Arial" w:hAnsi="Arial" w:cs="Arial"/>
          <w:sz w:val="22"/>
          <w:szCs w:val="22"/>
        </w:rPr>
        <w:t>g individuals under 18 years-of-age</w:t>
      </w:r>
      <w:r w:rsidR="0035248E">
        <w:rPr>
          <w:rFonts w:ascii="Arial" w:hAnsi="Arial" w:cs="Arial"/>
          <w:sz w:val="22"/>
          <w:szCs w:val="22"/>
        </w:rPr>
        <w:t>, the visit-</w:t>
      </w:r>
      <w:r w:rsidR="00167180">
        <w:rPr>
          <w:rFonts w:ascii="Arial" w:hAnsi="Arial" w:cs="Arial"/>
          <w:sz w:val="22"/>
          <w:szCs w:val="22"/>
        </w:rPr>
        <w:t xml:space="preserve">rate </w:t>
      </w:r>
      <w:r w:rsidR="0035248E">
        <w:rPr>
          <w:rFonts w:ascii="Arial" w:hAnsi="Arial" w:cs="Arial"/>
          <w:sz w:val="22"/>
          <w:szCs w:val="22"/>
        </w:rPr>
        <w:t>standardized relative risk for ILI remains consistently pro</w:t>
      </w:r>
      <w:r w:rsidR="007344E4">
        <w:rPr>
          <w:rFonts w:ascii="Arial" w:hAnsi="Arial" w:cs="Arial"/>
          <w:sz w:val="22"/>
          <w:szCs w:val="22"/>
        </w:rPr>
        <w:t>tective in both epidemic</w:t>
      </w:r>
      <w:r w:rsidR="007D66E0">
        <w:rPr>
          <w:rFonts w:ascii="Arial" w:hAnsi="Arial" w:cs="Arial"/>
          <w:sz w:val="22"/>
          <w:szCs w:val="22"/>
        </w:rPr>
        <w:t xml:space="preserve"> periods</w:t>
      </w:r>
      <w:r w:rsidR="00567104">
        <w:rPr>
          <w:rFonts w:ascii="Arial" w:hAnsi="Arial" w:cs="Arial"/>
          <w:sz w:val="22"/>
          <w:szCs w:val="22"/>
        </w:rPr>
        <w:t xml:space="preserve">. </w:t>
      </w:r>
      <w:r w:rsidR="0035248E">
        <w:rPr>
          <w:rFonts w:ascii="Arial" w:hAnsi="Arial" w:cs="Arial"/>
          <w:sz w:val="22"/>
          <w:szCs w:val="22"/>
        </w:rPr>
        <w:t>This trend is observed</w:t>
      </w:r>
      <w:r w:rsidR="00167180">
        <w:rPr>
          <w:rFonts w:ascii="Arial" w:hAnsi="Arial" w:cs="Arial"/>
          <w:sz w:val="22"/>
          <w:szCs w:val="22"/>
        </w:rPr>
        <w:t>,</w:t>
      </w:r>
      <w:r w:rsidR="0035248E">
        <w:rPr>
          <w:rFonts w:ascii="Arial" w:hAnsi="Arial" w:cs="Arial"/>
          <w:sz w:val="22"/>
          <w:szCs w:val="22"/>
        </w:rPr>
        <w:t xml:space="preserve"> to a lesser extent</w:t>
      </w:r>
      <w:r w:rsidR="00167180">
        <w:rPr>
          <w:rFonts w:ascii="Arial" w:hAnsi="Arial" w:cs="Arial"/>
          <w:sz w:val="22"/>
          <w:szCs w:val="22"/>
        </w:rPr>
        <w:t>,</w:t>
      </w:r>
      <w:r w:rsidR="0035248E">
        <w:rPr>
          <w:rFonts w:ascii="Arial" w:hAnsi="Arial" w:cs="Arial"/>
          <w:sz w:val="22"/>
          <w:szCs w:val="22"/>
        </w:rPr>
        <w:t xml:space="preserve"> among older </w:t>
      </w:r>
      <w:r w:rsidR="00E6712B">
        <w:rPr>
          <w:rFonts w:ascii="Arial" w:hAnsi="Arial" w:cs="Arial"/>
          <w:sz w:val="22"/>
          <w:szCs w:val="22"/>
        </w:rPr>
        <w:t>age-group</w:t>
      </w:r>
      <w:r>
        <w:rPr>
          <w:rFonts w:ascii="Arial" w:hAnsi="Arial" w:cs="Arial"/>
          <w:sz w:val="22"/>
          <w:szCs w:val="22"/>
        </w:rPr>
        <w:t>s</w:t>
      </w:r>
      <w:r w:rsidR="00567104">
        <w:rPr>
          <w:rFonts w:ascii="Arial" w:hAnsi="Arial" w:cs="Arial"/>
          <w:sz w:val="22"/>
          <w:szCs w:val="22"/>
        </w:rPr>
        <w:t xml:space="preserve">. </w:t>
      </w:r>
      <w:r w:rsidR="007F7BEC">
        <w:rPr>
          <w:rFonts w:ascii="Arial" w:hAnsi="Arial" w:cs="Arial"/>
          <w:sz w:val="22"/>
          <w:szCs w:val="22"/>
        </w:rPr>
        <w:t>Protective</w:t>
      </w:r>
      <w:r w:rsidR="0035248E">
        <w:rPr>
          <w:rFonts w:ascii="Arial" w:hAnsi="Arial" w:cs="Arial"/>
          <w:sz w:val="22"/>
          <w:szCs w:val="22"/>
        </w:rPr>
        <w:t xml:space="preserve"> visit-</w:t>
      </w:r>
      <w:r w:rsidR="00167180">
        <w:rPr>
          <w:rFonts w:ascii="Arial" w:hAnsi="Arial" w:cs="Arial"/>
          <w:sz w:val="22"/>
          <w:szCs w:val="22"/>
        </w:rPr>
        <w:t xml:space="preserve">rate </w:t>
      </w:r>
      <w:r w:rsidR="0035248E">
        <w:rPr>
          <w:rFonts w:ascii="Arial" w:hAnsi="Arial" w:cs="Arial"/>
          <w:sz w:val="22"/>
          <w:szCs w:val="22"/>
        </w:rPr>
        <w:t xml:space="preserve">standardized relative risk estimates for </w:t>
      </w:r>
      <w:r w:rsidR="007F7BEC">
        <w:rPr>
          <w:rFonts w:ascii="Arial" w:hAnsi="Arial" w:cs="Arial"/>
          <w:sz w:val="22"/>
          <w:szCs w:val="22"/>
        </w:rPr>
        <w:t xml:space="preserve">the </w:t>
      </w:r>
      <w:r w:rsidR="0035248E">
        <w:rPr>
          <w:rFonts w:ascii="Arial" w:hAnsi="Arial" w:cs="Arial"/>
          <w:sz w:val="22"/>
          <w:szCs w:val="22"/>
        </w:rPr>
        <w:t>other respiratory</w:t>
      </w:r>
      <w:r w:rsidR="007F7BEC">
        <w:rPr>
          <w:rFonts w:ascii="Arial" w:hAnsi="Arial" w:cs="Arial"/>
          <w:sz w:val="22"/>
          <w:szCs w:val="22"/>
        </w:rPr>
        <w:t xml:space="preserve"> and gastrointestinal illness outcomes are also observed for most time </w:t>
      </w:r>
      <w:r w:rsidR="00F2741C">
        <w:rPr>
          <w:rFonts w:ascii="Arial" w:hAnsi="Arial" w:cs="Arial"/>
          <w:sz w:val="22"/>
          <w:szCs w:val="22"/>
        </w:rPr>
        <w:t>periods among individuals 18 years and older</w:t>
      </w:r>
      <w:r w:rsidR="00567104">
        <w:rPr>
          <w:rFonts w:ascii="Arial" w:hAnsi="Arial" w:cs="Arial"/>
          <w:sz w:val="22"/>
          <w:szCs w:val="22"/>
        </w:rPr>
        <w:t xml:space="preserve">. </w:t>
      </w:r>
      <w:r w:rsidR="007F7BEC">
        <w:rPr>
          <w:rFonts w:ascii="Arial" w:hAnsi="Arial" w:cs="Arial"/>
          <w:sz w:val="22"/>
          <w:szCs w:val="22"/>
        </w:rPr>
        <w:t>The visit-</w:t>
      </w:r>
      <w:r w:rsidR="001B59EB">
        <w:rPr>
          <w:rFonts w:ascii="Arial" w:hAnsi="Arial" w:cs="Arial"/>
          <w:sz w:val="22"/>
          <w:szCs w:val="22"/>
        </w:rPr>
        <w:t xml:space="preserve">rate </w:t>
      </w:r>
      <w:r w:rsidR="007F7BEC">
        <w:rPr>
          <w:rFonts w:ascii="Arial" w:hAnsi="Arial" w:cs="Arial"/>
          <w:sz w:val="22"/>
          <w:szCs w:val="22"/>
        </w:rPr>
        <w:t>standardized relative risk estimates for injury ran</w:t>
      </w:r>
      <w:r w:rsidR="00A061AF">
        <w:rPr>
          <w:rFonts w:ascii="Arial" w:hAnsi="Arial" w:cs="Arial"/>
          <w:sz w:val="22"/>
          <w:szCs w:val="22"/>
        </w:rPr>
        <w:t>ge around the null value of 1.0.</w:t>
      </w:r>
      <w:r w:rsidR="007344E4">
        <w:rPr>
          <w:rFonts w:ascii="Arial" w:hAnsi="Arial" w:cs="Arial"/>
          <w:sz w:val="22"/>
          <w:szCs w:val="22"/>
        </w:rPr>
        <w:t xml:space="preserve">  </w:t>
      </w:r>
      <w:r>
        <w:rPr>
          <w:rFonts w:ascii="Arial" w:hAnsi="Arial" w:cs="Arial"/>
          <w:sz w:val="22"/>
          <w:szCs w:val="22"/>
        </w:rPr>
        <w:t>Table 3</w:t>
      </w:r>
      <w:r w:rsidR="00F37B2B">
        <w:rPr>
          <w:rFonts w:ascii="Arial" w:hAnsi="Arial" w:cs="Arial"/>
          <w:sz w:val="22"/>
          <w:szCs w:val="22"/>
        </w:rPr>
        <w:t xml:space="preserve"> &amp; Table 4</w:t>
      </w:r>
      <w:r>
        <w:rPr>
          <w:rFonts w:ascii="Arial" w:hAnsi="Arial" w:cs="Arial"/>
          <w:sz w:val="22"/>
          <w:szCs w:val="22"/>
        </w:rPr>
        <w:t xml:space="preserve"> (main text)</w:t>
      </w:r>
      <w:r w:rsidR="00554189">
        <w:rPr>
          <w:rFonts w:ascii="Arial" w:hAnsi="Arial" w:cs="Arial"/>
          <w:sz w:val="22"/>
          <w:szCs w:val="22"/>
        </w:rPr>
        <w:t xml:space="preserve"> </w:t>
      </w:r>
      <w:r w:rsidR="007F7BEC">
        <w:rPr>
          <w:rFonts w:ascii="Arial" w:hAnsi="Arial" w:cs="Arial"/>
          <w:sz w:val="22"/>
          <w:szCs w:val="22"/>
        </w:rPr>
        <w:t xml:space="preserve">present the effects of </w:t>
      </w:r>
      <w:r w:rsidR="00B30BA4">
        <w:rPr>
          <w:rFonts w:ascii="Arial" w:hAnsi="Arial" w:cs="Arial"/>
          <w:sz w:val="22"/>
          <w:szCs w:val="22"/>
        </w:rPr>
        <w:t xml:space="preserve">the </w:t>
      </w:r>
      <w:r w:rsidR="007F7BEC">
        <w:rPr>
          <w:rFonts w:ascii="Arial" w:hAnsi="Arial" w:cs="Arial"/>
          <w:sz w:val="22"/>
          <w:szCs w:val="22"/>
        </w:rPr>
        <w:t xml:space="preserve">bias correction </w:t>
      </w:r>
      <w:r w:rsidR="00B30BA4">
        <w:rPr>
          <w:rFonts w:ascii="Arial" w:hAnsi="Arial" w:cs="Arial"/>
          <w:sz w:val="22"/>
          <w:szCs w:val="22"/>
        </w:rPr>
        <w:t xml:space="preserve">methods </w:t>
      </w:r>
      <w:r w:rsidR="007F7BEC">
        <w:rPr>
          <w:rFonts w:ascii="Arial" w:hAnsi="Arial" w:cs="Arial"/>
          <w:sz w:val="22"/>
          <w:szCs w:val="22"/>
        </w:rPr>
        <w:t xml:space="preserve">on the </w:t>
      </w:r>
      <w:r w:rsidR="006C4658">
        <w:rPr>
          <w:rFonts w:ascii="Arial" w:hAnsi="Arial" w:cs="Arial"/>
          <w:sz w:val="22"/>
          <w:szCs w:val="22"/>
        </w:rPr>
        <w:t xml:space="preserve">estimated </w:t>
      </w:r>
      <w:r w:rsidR="007F7BEC">
        <w:rPr>
          <w:rFonts w:ascii="Arial" w:hAnsi="Arial" w:cs="Arial"/>
          <w:sz w:val="22"/>
          <w:szCs w:val="22"/>
        </w:rPr>
        <w:t>ef</w:t>
      </w:r>
      <w:r w:rsidR="00855A40">
        <w:rPr>
          <w:rFonts w:ascii="Arial" w:hAnsi="Arial" w:cs="Arial"/>
          <w:sz w:val="22"/>
          <w:szCs w:val="22"/>
        </w:rPr>
        <w:t>fectiveness of the SLIV program</w:t>
      </w:r>
      <w:r w:rsidR="007F7BEC">
        <w:rPr>
          <w:rFonts w:ascii="Arial" w:hAnsi="Arial" w:cs="Arial"/>
          <w:sz w:val="22"/>
          <w:szCs w:val="22"/>
        </w:rPr>
        <w:t xml:space="preserve"> by age-group and epidemic period</w:t>
      </w:r>
      <w:r w:rsidR="00567104">
        <w:rPr>
          <w:rFonts w:ascii="Arial" w:hAnsi="Arial" w:cs="Arial"/>
          <w:sz w:val="22"/>
          <w:szCs w:val="22"/>
        </w:rPr>
        <w:t xml:space="preserve">. </w:t>
      </w:r>
      <w:r w:rsidR="002C5EF2">
        <w:rPr>
          <w:rFonts w:ascii="Arial" w:hAnsi="Arial" w:cs="Arial"/>
          <w:sz w:val="22"/>
          <w:szCs w:val="22"/>
        </w:rPr>
        <w:t>Bias correction had little impact on the interpretation of the point estimate for the</w:t>
      </w:r>
      <w:r w:rsidR="008B0DB8">
        <w:rPr>
          <w:rFonts w:ascii="Arial" w:hAnsi="Arial" w:cs="Arial"/>
          <w:sz w:val="22"/>
          <w:szCs w:val="22"/>
        </w:rPr>
        <w:t xml:space="preserve"> overall effectiveness of the SLIV program among 5 to 17 year-olds and the</w:t>
      </w:r>
      <w:r w:rsidR="002C5EF2">
        <w:rPr>
          <w:rFonts w:ascii="Arial" w:hAnsi="Arial" w:cs="Arial"/>
          <w:sz w:val="22"/>
          <w:szCs w:val="22"/>
        </w:rPr>
        <w:t xml:space="preserve"> indirect effectiveness of the SLIV program among children under 5 years-old</w:t>
      </w:r>
      <w:r w:rsidR="008B0DB8">
        <w:rPr>
          <w:rFonts w:ascii="Arial" w:hAnsi="Arial" w:cs="Arial"/>
          <w:sz w:val="22"/>
          <w:szCs w:val="22"/>
        </w:rPr>
        <w:t xml:space="preserve"> and adults over 44 years-of-age</w:t>
      </w:r>
      <w:r w:rsidR="00567104">
        <w:rPr>
          <w:rFonts w:ascii="Arial" w:hAnsi="Arial" w:cs="Arial"/>
          <w:sz w:val="22"/>
          <w:szCs w:val="22"/>
        </w:rPr>
        <w:t xml:space="preserve">. </w:t>
      </w:r>
    </w:p>
    <w:p w:rsidR="00832682" w:rsidRPr="00700738" w:rsidRDefault="00C04513" w:rsidP="00A04ED5">
      <w:pPr>
        <w:spacing w:after="0" w:line="480" w:lineRule="auto"/>
        <w:rPr>
          <w:rFonts w:ascii="Arial" w:hAnsi="Arial" w:cs="Arial"/>
          <w:b/>
          <w:sz w:val="22"/>
          <w:szCs w:val="22"/>
        </w:rPr>
      </w:pPr>
      <w:r>
        <w:rPr>
          <w:rFonts w:ascii="Arial" w:hAnsi="Arial" w:cs="Arial"/>
          <w:b/>
          <w:sz w:val="22"/>
          <w:szCs w:val="22"/>
        </w:rPr>
        <w:t xml:space="preserve">A.3 </w:t>
      </w:r>
      <w:r w:rsidR="00D01578">
        <w:rPr>
          <w:rFonts w:ascii="Arial" w:hAnsi="Arial" w:cs="Arial"/>
          <w:b/>
          <w:sz w:val="22"/>
          <w:szCs w:val="22"/>
        </w:rPr>
        <w:t>Discussion</w:t>
      </w:r>
    </w:p>
    <w:p w:rsidR="00C64402" w:rsidRPr="00B92B0C" w:rsidRDefault="000F22CA" w:rsidP="00A04ED5">
      <w:pPr>
        <w:spacing w:after="0" w:line="480" w:lineRule="auto"/>
        <w:rPr>
          <w:rFonts w:ascii="Arial" w:hAnsi="Arial" w:cs="Arial"/>
          <w:sz w:val="22"/>
          <w:szCs w:val="22"/>
        </w:rPr>
      </w:pPr>
      <w:r>
        <w:rPr>
          <w:rFonts w:ascii="Arial" w:hAnsi="Arial" w:cs="Arial"/>
          <w:sz w:val="22"/>
          <w:szCs w:val="22"/>
        </w:rPr>
        <w:tab/>
      </w:r>
      <w:r w:rsidR="00E2147E">
        <w:rPr>
          <w:rFonts w:ascii="Arial" w:hAnsi="Arial" w:cs="Arial"/>
          <w:sz w:val="22"/>
          <w:szCs w:val="22"/>
        </w:rPr>
        <w:t>Our results</w:t>
      </w:r>
      <w:r>
        <w:rPr>
          <w:rFonts w:ascii="Arial" w:hAnsi="Arial" w:cs="Arial"/>
          <w:sz w:val="22"/>
          <w:szCs w:val="22"/>
        </w:rPr>
        <w:t xml:space="preserve"> demonstrate that there is </w:t>
      </w:r>
      <w:r w:rsidR="007344E4">
        <w:rPr>
          <w:rFonts w:ascii="Arial" w:hAnsi="Arial" w:cs="Arial"/>
          <w:sz w:val="22"/>
          <w:szCs w:val="22"/>
        </w:rPr>
        <w:t xml:space="preserve">little </w:t>
      </w:r>
      <w:r w:rsidR="00310A03">
        <w:rPr>
          <w:rFonts w:ascii="Arial" w:hAnsi="Arial" w:cs="Arial"/>
          <w:sz w:val="22"/>
          <w:szCs w:val="22"/>
        </w:rPr>
        <w:t xml:space="preserve">evidence </w:t>
      </w:r>
      <w:r w:rsidR="007344E4">
        <w:rPr>
          <w:rFonts w:ascii="Arial" w:hAnsi="Arial" w:cs="Arial"/>
          <w:sz w:val="22"/>
          <w:szCs w:val="22"/>
        </w:rPr>
        <w:t xml:space="preserve">of ascertainment bias during the epidemic season.  </w:t>
      </w:r>
      <w:r w:rsidR="00F57D86">
        <w:rPr>
          <w:rFonts w:ascii="Arial" w:hAnsi="Arial" w:cs="Arial"/>
          <w:sz w:val="22"/>
          <w:szCs w:val="22"/>
        </w:rPr>
        <w:t>The indirect effectiveness</w:t>
      </w:r>
      <w:r w:rsidR="00E2147E">
        <w:rPr>
          <w:rFonts w:ascii="Arial" w:hAnsi="Arial" w:cs="Arial"/>
          <w:sz w:val="22"/>
          <w:szCs w:val="22"/>
        </w:rPr>
        <w:t xml:space="preserve"> estimates</w:t>
      </w:r>
      <w:r w:rsidR="00F57D86">
        <w:rPr>
          <w:rFonts w:ascii="Arial" w:hAnsi="Arial" w:cs="Arial"/>
          <w:sz w:val="22"/>
          <w:szCs w:val="22"/>
        </w:rPr>
        <w:t xml:space="preserve"> among children under 5 year</w:t>
      </w:r>
      <w:r w:rsidR="00E2147E">
        <w:rPr>
          <w:rFonts w:ascii="Arial" w:hAnsi="Arial" w:cs="Arial"/>
          <w:sz w:val="22"/>
          <w:szCs w:val="22"/>
        </w:rPr>
        <w:t>s</w:t>
      </w:r>
      <w:r w:rsidR="00F57D86">
        <w:rPr>
          <w:rFonts w:ascii="Arial" w:hAnsi="Arial" w:cs="Arial"/>
          <w:sz w:val="22"/>
          <w:szCs w:val="22"/>
        </w:rPr>
        <w:t>-old and the overall effectiveness among s</w:t>
      </w:r>
      <w:r w:rsidR="007B35D4">
        <w:rPr>
          <w:rFonts w:ascii="Arial" w:hAnsi="Arial" w:cs="Arial"/>
          <w:sz w:val="22"/>
          <w:szCs w:val="22"/>
        </w:rPr>
        <w:t>chool-age children (5-17 years) are</w:t>
      </w:r>
      <w:r w:rsidR="007344E4">
        <w:rPr>
          <w:rFonts w:ascii="Arial" w:hAnsi="Arial" w:cs="Arial"/>
          <w:sz w:val="22"/>
          <w:szCs w:val="22"/>
        </w:rPr>
        <w:t xml:space="preserve"> slightly</w:t>
      </w:r>
      <w:r w:rsidR="007B35D4">
        <w:rPr>
          <w:rFonts w:ascii="Arial" w:hAnsi="Arial" w:cs="Arial"/>
          <w:sz w:val="22"/>
          <w:szCs w:val="22"/>
        </w:rPr>
        <w:t xml:space="preserve"> lower </w:t>
      </w:r>
      <w:r w:rsidR="00E2147E">
        <w:rPr>
          <w:rFonts w:ascii="Arial" w:hAnsi="Arial" w:cs="Arial"/>
          <w:sz w:val="22"/>
          <w:szCs w:val="22"/>
        </w:rPr>
        <w:t>in value when corrected for bias</w:t>
      </w:r>
      <w:r w:rsidR="00567104">
        <w:rPr>
          <w:rFonts w:ascii="Arial" w:hAnsi="Arial" w:cs="Arial"/>
          <w:sz w:val="22"/>
          <w:szCs w:val="22"/>
        </w:rPr>
        <w:t xml:space="preserve">. </w:t>
      </w:r>
      <w:r w:rsidR="00E2147E">
        <w:rPr>
          <w:rFonts w:ascii="Arial" w:hAnsi="Arial" w:cs="Arial"/>
          <w:sz w:val="22"/>
          <w:szCs w:val="22"/>
        </w:rPr>
        <w:t>In contrast,</w:t>
      </w:r>
      <w:r w:rsidR="00BB53CA">
        <w:rPr>
          <w:rFonts w:ascii="Arial" w:hAnsi="Arial" w:cs="Arial"/>
          <w:sz w:val="22"/>
          <w:szCs w:val="22"/>
        </w:rPr>
        <w:t xml:space="preserve"> </w:t>
      </w:r>
      <w:r w:rsidR="00E2147E">
        <w:rPr>
          <w:rFonts w:ascii="Arial" w:hAnsi="Arial" w:cs="Arial"/>
          <w:sz w:val="22"/>
          <w:szCs w:val="22"/>
        </w:rPr>
        <w:t xml:space="preserve">after </w:t>
      </w:r>
      <w:r w:rsidR="00BB53CA">
        <w:rPr>
          <w:rFonts w:ascii="Arial" w:hAnsi="Arial" w:cs="Arial"/>
          <w:sz w:val="22"/>
          <w:szCs w:val="22"/>
        </w:rPr>
        <w:t xml:space="preserve">correction for </w:t>
      </w:r>
      <w:r w:rsidR="00E2147E">
        <w:rPr>
          <w:rFonts w:ascii="Arial" w:hAnsi="Arial" w:cs="Arial"/>
          <w:sz w:val="22"/>
          <w:szCs w:val="22"/>
        </w:rPr>
        <w:t xml:space="preserve">potential </w:t>
      </w:r>
      <w:r w:rsidR="00BB53CA">
        <w:rPr>
          <w:rFonts w:ascii="Arial" w:hAnsi="Arial" w:cs="Arial"/>
          <w:sz w:val="22"/>
          <w:szCs w:val="22"/>
        </w:rPr>
        <w:t xml:space="preserve">observation bias, </w:t>
      </w:r>
      <w:r w:rsidR="007344E4">
        <w:rPr>
          <w:rFonts w:ascii="Arial" w:hAnsi="Arial" w:cs="Arial"/>
          <w:sz w:val="22"/>
          <w:szCs w:val="22"/>
        </w:rPr>
        <w:t>the estimated effectiveness tends to increase slightly among individuals 18 years and older.</w:t>
      </w:r>
    </w:p>
    <w:p w:rsidR="00CC780C" w:rsidRPr="00CC780C" w:rsidRDefault="00F31B20" w:rsidP="00A04ED5">
      <w:pPr>
        <w:spacing w:after="0" w:line="480" w:lineRule="auto"/>
        <w:rPr>
          <w:rFonts w:ascii="Arial" w:hAnsi="Arial" w:cs="Arial"/>
          <w:b/>
          <w:sz w:val="22"/>
          <w:szCs w:val="22"/>
        </w:rPr>
      </w:pPr>
      <w:r>
        <w:rPr>
          <w:rFonts w:ascii="Arial" w:hAnsi="Arial" w:cs="Arial"/>
          <w:b/>
          <w:sz w:val="22"/>
          <w:szCs w:val="22"/>
        </w:rPr>
        <w:t xml:space="preserve">Supplementary Appendix </w:t>
      </w:r>
      <w:r w:rsidR="00EF4E30">
        <w:rPr>
          <w:rFonts w:ascii="Arial" w:hAnsi="Arial" w:cs="Arial"/>
          <w:b/>
          <w:sz w:val="22"/>
          <w:szCs w:val="22"/>
        </w:rPr>
        <w:t>B. Surveillance case definitions for study o</w:t>
      </w:r>
      <w:r w:rsidR="00CC780C" w:rsidRPr="00CC780C">
        <w:rPr>
          <w:rFonts w:ascii="Arial" w:hAnsi="Arial" w:cs="Arial"/>
          <w:b/>
          <w:sz w:val="22"/>
          <w:szCs w:val="22"/>
        </w:rPr>
        <w:t>utcomes</w:t>
      </w:r>
    </w:p>
    <w:p w:rsidR="00CC780C" w:rsidRDefault="00CC780C" w:rsidP="00A04ED5">
      <w:pPr>
        <w:spacing w:after="0" w:line="480" w:lineRule="auto"/>
        <w:rPr>
          <w:rFonts w:ascii="Arial" w:hAnsi="Arial" w:cs="Arial"/>
          <w:sz w:val="22"/>
          <w:szCs w:val="22"/>
        </w:rPr>
      </w:pPr>
      <w:r w:rsidRPr="00CC780C">
        <w:rPr>
          <w:rFonts w:ascii="Arial" w:hAnsi="Arial" w:cs="Arial"/>
          <w:sz w:val="22"/>
          <w:szCs w:val="22"/>
        </w:rPr>
        <w:t xml:space="preserve">The ESSENCE system queries key terms </w:t>
      </w:r>
      <w:r>
        <w:rPr>
          <w:rFonts w:ascii="Arial" w:hAnsi="Arial" w:cs="Arial"/>
          <w:sz w:val="22"/>
          <w:szCs w:val="22"/>
        </w:rPr>
        <w:t xml:space="preserve">in the description of the </w:t>
      </w:r>
      <w:r w:rsidRPr="00CC780C">
        <w:rPr>
          <w:rFonts w:ascii="Arial" w:hAnsi="Arial" w:cs="Arial"/>
          <w:sz w:val="22"/>
          <w:szCs w:val="22"/>
        </w:rPr>
        <w:t>chi</w:t>
      </w:r>
      <w:r>
        <w:rPr>
          <w:rFonts w:ascii="Arial" w:hAnsi="Arial" w:cs="Arial"/>
          <w:sz w:val="22"/>
          <w:szCs w:val="22"/>
        </w:rPr>
        <w:t>ef complaint asso</w:t>
      </w:r>
      <w:r w:rsidR="001E6D17">
        <w:rPr>
          <w:rFonts w:ascii="Arial" w:hAnsi="Arial" w:cs="Arial"/>
          <w:sz w:val="22"/>
          <w:szCs w:val="22"/>
        </w:rPr>
        <w:t>ciated with an outpatient visit</w:t>
      </w:r>
      <w:r>
        <w:rPr>
          <w:rFonts w:ascii="Arial" w:hAnsi="Arial" w:cs="Arial"/>
          <w:sz w:val="22"/>
          <w:szCs w:val="22"/>
        </w:rPr>
        <w:t xml:space="preserve"> to a sentinel emergency department or urgent care facility</w:t>
      </w:r>
      <w:r w:rsidR="00567104">
        <w:rPr>
          <w:rFonts w:ascii="Arial" w:hAnsi="Arial" w:cs="Arial"/>
          <w:sz w:val="22"/>
          <w:szCs w:val="22"/>
        </w:rPr>
        <w:t xml:space="preserve">. </w:t>
      </w:r>
      <w:r>
        <w:rPr>
          <w:rFonts w:ascii="Arial" w:hAnsi="Arial" w:cs="Arial"/>
          <w:sz w:val="22"/>
          <w:szCs w:val="22"/>
        </w:rPr>
        <w:t xml:space="preserve">Using a set of algorithms, the results of the key term search are used to automatically assign each outpatient visits to one of 12 </w:t>
      </w:r>
      <w:r w:rsidRPr="00CC780C">
        <w:rPr>
          <w:rFonts w:ascii="Arial" w:hAnsi="Arial" w:cs="Arial"/>
          <w:sz w:val="22"/>
          <w:szCs w:val="22"/>
        </w:rPr>
        <w:t>syndrome categories</w:t>
      </w:r>
      <w:r w:rsidR="00567104">
        <w:rPr>
          <w:rFonts w:ascii="Arial" w:hAnsi="Arial" w:cs="Arial"/>
          <w:sz w:val="22"/>
          <w:szCs w:val="22"/>
        </w:rPr>
        <w:t xml:space="preserve">. </w:t>
      </w:r>
      <w:r w:rsidR="005224FE">
        <w:rPr>
          <w:rFonts w:ascii="Arial" w:hAnsi="Arial" w:cs="Arial"/>
          <w:sz w:val="22"/>
          <w:szCs w:val="22"/>
        </w:rPr>
        <w:t>Each of the following sections lists the key terms that are used to define the primary and negative control outcomes for the current study</w:t>
      </w:r>
      <w:r w:rsidR="00567104">
        <w:rPr>
          <w:rFonts w:ascii="Arial" w:hAnsi="Arial" w:cs="Arial"/>
          <w:sz w:val="22"/>
          <w:szCs w:val="22"/>
        </w:rPr>
        <w:t xml:space="preserve">. </w:t>
      </w:r>
    </w:p>
    <w:p w:rsidR="005224FE" w:rsidRPr="005224FE" w:rsidRDefault="005224FE" w:rsidP="00A04ED5">
      <w:pPr>
        <w:spacing w:after="0" w:line="480" w:lineRule="auto"/>
        <w:rPr>
          <w:rFonts w:ascii="Arial" w:hAnsi="Arial" w:cs="Arial"/>
          <w:b/>
          <w:sz w:val="22"/>
          <w:szCs w:val="22"/>
        </w:rPr>
      </w:pPr>
      <w:r w:rsidRPr="005224FE">
        <w:rPr>
          <w:rFonts w:ascii="Arial" w:hAnsi="Arial" w:cs="Arial"/>
          <w:b/>
          <w:sz w:val="22"/>
          <w:szCs w:val="22"/>
        </w:rPr>
        <w:t>B.1. Influenza and Influenza-l</w:t>
      </w:r>
      <w:r w:rsidR="00CC780C" w:rsidRPr="005224FE">
        <w:rPr>
          <w:rFonts w:ascii="Arial" w:hAnsi="Arial" w:cs="Arial"/>
          <w:b/>
          <w:sz w:val="22"/>
          <w:szCs w:val="22"/>
        </w:rPr>
        <w:t xml:space="preserve">ike Illness (ILI) </w:t>
      </w:r>
      <w:r w:rsidRPr="005224FE">
        <w:rPr>
          <w:rFonts w:ascii="Arial" w:hAnsi="Arial" w:cs="Arial"/>
          <w:b/>
          <w:sz w:val="22"/>
          <w:szCs w:val="22"/>
        </w:rPr>
        <w:t>syndrome category:</w:t>
      </w:r>
    </w:p>
    <w:p w:rsidR="005224FE" w:rsidRDefault="005224FE" w:rsidP="00A04ED5">
      <w:pPr>
        <w:spacing w:after="0" w:line="480" w:lineRule="auto"/>
        <w:rPr>
          <w:rFonts w:ascii="Arial" w:hAnsi="Arial" w:cs="Arial"/>
          <w:sz w:val="22"/>
          <w:szCs w:val="22"/>
        </w:rPr>
      </w:pPr>
      <w:r>
        <w:rPr>
          <w:rFonts w:ascii="Arial" w:hAnsi="Arial" w:cs="Arial"/>
          <w:sz w:val="22"/>
          <w:szCs w:val="22"/>
        </w:rPr>
        <w:t xml:space="preserve">Includes: </w:t>
      </w:r>
    </w:p>
    <w:p w:rsidR="005224FE" w:rsidRPr="005224FE" w:rsidRDefault="005224FE" w:rsidP="00A04ED5">
      <w:pPr>
        <w:pStyle w:val="ListParagraph"/>
        <w:numPr>
          <w:ilvl w:val="0"/>
          <w:numId w:val="13"/>
        </w:numPr>
        <w:spacing w:after="0" w:line="480" w:lineRule="auto"/>
        <w:rPr>
          <w:rFonts w:ascii="Arial" w:hAnsi="Arial" w:cs="Arial"/>
          <w:sz w:val="22"/>
          <w:szCs w:val="22"/>
        </w:rPr>
      </w:pPr>
      <w:r w:rsidRPr="005224FE">
        <w:rPr>
          <w:rFonts w:ascii="Arial" w:hAnsi="Arial" w:cs="Arial"/>
          <w:sz w:val="22"/>
          <w:szCs w:val="22"/>
        </w:rPr>
        <w:lastRenderedPageBreak/>
        <w:t>“influenza”</w:t>
      </w:r>
    </w:p>
    <w:p w:rsidR="005224FE" w:rsidRPr="005224FE" w:rsidRDefault="005224FE" w:rsidP="00A04ED5">
      <w:pPr>
        <w:pStyle w:val="ListParagraph"/>
        <w:numPr>
          <w:ilvl w:val="0"/>
          <w:numId w:val="13"/>
        </w:numPr>
        <w:spacing w:after="0" w:line="480" w:lineRule="auto"/>
        <w:rPr>
          <w:rFonts w:ascii="Arial" w:hAnsi="Arial" w:cs="Arial"/>
          <w:sz w:val="22"/>
          <w:szCs w:val="22"/>
        </w:rPr>
      </w:pPr>
      <w:r w:rsidRPr="005224FE">
        <w:rPr>
          <w:rFonts w:ascii="Arial" w:hAnsi="Arial" w:cs="Arial"/>
          <w:sz w:val="22"/>
          <w:szCs w:val="22"/>
        </w:rPr>
        <w:t>“fever and cough”</w:t>
      </w:r>
    </w:p>
    <w:p w:rsidR="005224FE" w:rsidRPr="005224FE" w:rsidRDefault="005224FE" w:rsidP="00A04ED5">
      <w:pPr>
        <w:pStyle w:val="ListParagraph"/>
        <w:numPr>
          <w:ilvl w:val="0"/>
          <w:numId w:val="13"/>
        </w:numPr>
        <w:spacing w:after="0" w:line="480" w:lineRule="auto"/>
        <w:rPr>
          <w:rFonts w:ascii="Arial" w:hAnsi="Arial" w:cs="Arial"/>
          <w:sz w:val="22"/>
          <w:szCs w:val="22"/>
        </w:rPr>
      </w:pPr>
      <w:r w:rsidRPr="005224FE">
        <w:rPr>
          <w:rFonts w:ascii="Arial" w:hAnsi="Arial" w:cs="Arial"/>
          <w:sz w:val="22"/>
          <w:szCs w:val="22"/>
        </w:rPr>
        <w:t>“fever and sore throat”</w:t>
      </w:r>
    </w:p>
    <w:p w:rsidR="005224FE" w:rsidRDefault="005224FE" w:rsidP="00A04ED5">
      <w:pPr>
        <w:spacing w:after="0" w:line="480" w:lineRule="auto"/>
        <w:rPr>
          <w:rFonts w:ascii="Arial" w:hAnsi="Arial" w:cs="Arial"/>
          <w:sz w:val="22"/>
          <w:szCs w:val="22"/>
        </w:rPr>
      </w:pPr>
      <w:r>
        <w:rPr>
          <w:rFonts w:ascii="Arial" w:hAnsi="Arial" w:cs="Arial"/>
          <w:sz w:val="22"/>
          <w:szCs w:val="22"/>
        </w:rPr>
        <w:t>Excludes all non-</w:t>
      </w:r>
      <w:r w:rsidR="00CC780C" w:rsidRPr="00CC780C">
        <w:rPr>
          <w:rFonts w:ascii="Arial" w:hAnsi="Arial" w:cs="Arial"/>
          <w:sz w:val="22"/>
          <w:szCs w:val="22"/>
        </w:rPr>
        <w:t>ILI fevers.</w:t>
      </w:r>
    </w:p>
    <w:p w:rsidR="005224FE" w:rsidRPr="005224FE" w:rsidRDefault="005224FE" w:rsidP="00A04ED5">
      <w:pPr>
        <w:spacing w:after="0" w:line="480" w:lineRule="auto"/>
        <w:rPr>
          <w:rFonts w:ascii="Arial" w:hAnsi="Arial" w:cs="Arial"/>
          <w:b/>
          <w:sz w:val="22"/>
          <w:szCs w:val="22"/>
        </w:rPr>
      </w:pPr>
      <w:r>
        <w:rPr>
          <w:rFonts w:ascii="Arial" w:hAnsi="Arial" w:cs="Arial"/>
          <w:b/>
          <w:sz w:val="22"/>
          <w:szCs w:val="22"/>
        </w:rPr>
        <w:t>B.2</w:t>
      </w:r>
      <w:r w:rsidRPr="005224FE">
        <w:rPr>
          <w:rFonts w:ascii="Arial" w:hAnsi="Arial" w:cs="Arial"/>
          <w:b/>
          <w:sz w:val="22"/>
          <w:szCs w:val="22"/>
        </w:rPr>
        <w:t>. Other</w:t>
      </w:r>
      <w:r w:rsidR="00CC780C" w:rsidRPr="005224FE">
        <w:rPr>
          <w:rFonts w:ascii="Arial" w:hAnsi="Arial" w:cs="Arial"/>
          <w:b/>
          <w:sz w:val="22"/>
          <w:szCs w:val="22"/>
        </w:rPr>
        <w:t xml:space="preserve"> Respiratory</w:t>
      </w:r>
      <w:r w:rsidRPr="005224FE">
        <w:rPr>
          <w:rFonts w:ascii="Arial" w:hAnsi="Arial" w:cs="Arial"/>
          <w:b/>
          <w:sz w:val="22"/>
          <w:szCs w:val="22"/>
        </w:rPr>
        <w:t xml:space="preserve"> Illness</w:t>
      </w:r>
      <w:r w:rsidR="00CC780C" w:rsidRPr="005224FE">
        <w:rPr>
          <w:rFonts w:ascii="Arial" w:hAnsi="Arial" w:cs="Arial"/>
          <w:b/>
          <w:sz w:val="22"/>
          <w:szCs w:val="22"/>
        </w:rPr>
        <w:t xml:space="preserve"> </w:t>
      </w:r>
      <w:r w:rsidRPr="005224FE">
        <w:rPr>
          <w:rFonts w:ascii="Arial" w:hAnsi="Arial" w:cs="Arial"/>
          <w:b/>
          <w:sz w:val="22"/>
          <w:szCs w:val="22"/>
        </w:rPr>
        <w:t xml:space="preserve">syndrome </w:t>
      </w:r>
      <w:r w:rsidR="00CC780C" w:rsidRPr="005224FE">
        <w:rPr>
          <w:rFonts w:ascii="Arial" w:hAnsi="Arial" w:cs="Arial"/>
          <w:b/>
          <w:sz w:val="22"/>
          <w:szCs w:val="22"/>
        </w:rPr>
        <w:t>category</w:t>
      </w:r>
      <w:r w:rsidRPr="005224FE">
        <w:rPr>
          <w:rFonts w:ascii="Arial" w:hAnsi="Arial" w:cs="Arial"/>
          <w:b/>
          <w:sz w:val="22"/>
          <w:szCs w:val="22"/>
        </w:rPr>
        <w:t>:</w:t>
      </w:r>
    </w:p>
    <w:p w:rsidR="005224FE" w:rsidRDefault="005224FE" w:rsidP="00A04ED5">
      <w:pPr>
        <w:spacing w:after="0" w:line="480" w:lineRule="auto"/>
        <w:rPr>
          <w:rFonts w:ascii="Arial" w:hAnsi="Arial" w:cs="Arial"/>
          <w:sz w:val="22"/>
          <w:szCs w:val="22"/>
        </w:rPr>
      </w:pPr>
      <w:r>
        <w:rPr>
          <w:rFonts w:ascii="Arial" w:hAnsi="Arial" w:cs="Arial"/>
          <w:sz w:val="22"/>
          <w:szCs w:val="22"/>
        </w:rPr>
        <w:t>I</w:t>
      </w:r>
      <w:r w:rsidR="00CC780C" w:rsidRPr="00CC780C">
        <w:rPr>
          <w:rFonts w:ascii="Arial" w:hAnsi="Arial" w:cs="Arial"/>
          <w:sz w:val="22"/>
          <w:szCs w:val="22"/>
        </w:rPr>
        <w:t xml:space="preserve">ncludes at least one of the following sub syndromes:  </w:t>
      </w:r>
    </w:p>
    <w:p w:rsidR="005224FE" w:rsidRPr="005224FE" w:rsidRDefault="005224FE" w:rsidP="00A04ED5">
      <w:pPr>
        <w:pStyle w:val="ListParagraph"/>
        <w:numPr>
          <w:ilvl w:val="0"/>
          <w:numId w:val="14"/>
        </w:numPr>
        <w:spacing w:after="0" w:line="480" w:lineRule="auto"/>
        <w:rPr>
          <w:rFonts w:ascii="Arial" w:hAnsi="Arial" w:cs="Arial"/>
          <w:sz w:val="22"/>
          <w:szCs w:val="22"/>
        </w:rPr>
      </w:pPr>
      <w:r w:rsidRPr="005224FE">
        <w:rPr>
          <w:rFonts w:ascii="Arial" w:hAnsi="Arial" w:cs="Arial"/>
          <w:sz w:val="22"/>
          <w:szCs w:val="22"/>
        </w:rPr>
        <w:t>“acute bronchitis”</w:t>
      </w:r>
    </w:p>
    <w:p w:rsidR="005224FE" w:rsidRPr="005224FE" w:rsidRDefault="00CC780C" w:rsidP="00A04ED5">
      <w:pPr>
        <w:pStyle w:val="ListParagraph"/>
        <w:numPr>
          <w:ilvl w:val="0"/>
          <w:numId w:val="14"/>
        </w:numPr>
        <w:spacing w:after="0" w:line="480" w:lineRule="auto"/>
        <w:rPr>
          <w:rFonts w:ascii="Arial" w:hAnsi="Arial" w:cs="Arial"/>
          <w:sz w:val="22"/>
          <w:szCs w:val="22"/>
        </w:rPr>
      </w:pPr>
      <w:r w:rsidRPr="005224FE">
        <w:rPr>
          <w:rFonts w:ascii="Arial" w:hAnsi="Arial" w:cs="Arial"/>
          <w:sz w:val="22"/>
          <w:szCs w:val="22"/>
        </w:rPr>
        <w:t>“con</w:t>
      </w:r>
      <w:r w:rsidR="005224FE" w:rsidRPr="005224FE">
        <w:rPr>
          <w:rFonts w:ascii="Arial" w:hAnsi="Arial" w:cs="Arial"/>
          <w:sz w:val="22"/>
          <w:szCs w:val="22"/>
        </w:rPr>
        <w:t>gestion chest”</w:t>
      </w:r>
      <w:r w:rsidRPr="005224FE">
        <w:rPr>
          <w:rFonts w:ascii="Arial" w:hAnsi="Arial" w:cs="Arial"/>
          <w:sz w:val="22"/>
          <w:szCs w:val="22"/>
        </w:rPr>
        <w:t xml:space="preserve"> </w:t>
      </w:r>
    </w:p>
    <w:p w:rsidR="005224FE" w:rsidRPr="005224FE" w:rsidRDefault="005224FE" w:rsidP="00A04ED5">
      <w:pPr>
        <w:pStyle w:val="ListParagraph"/>
        <w:numPr>
          <w:ilvl w:val="0"/>
          <w:numId w:val="14"/>
        </w:numPr>
        <w:spacing w:after="0" w:line="480" w:lineRule="auto"/>
        <w:rPr>
          <w:rFonts w:ascii="Arial" w:hAnsi="Arial" w:cs="Arial"/>
          <w:sz w:val="22"/>
          <w:szCs w:val="22"/>
        </w:rPr>
      </w:pPr>
      <w:r w:rsidRPr="005224FE">
        <w:rPr>
          <w:rFonts w:ascii="Arial" w:hAnsi="Arial" w:cs="Arial"/>
          <w:sz w:val="22"/>
          <w:szCs w:val="22"/>
        </w:rPr>
        <w:t>“cough”</w:t>
      </w:r>
    </w:p>
    <w:p w:rsidR="005224FE" w:rsidRPr="005224FE" w:rsidRDefault="005224FE" w:rsidP="00A04ED5">
      <w:pPr>
        <w:pStyle w:val="ListParagraph"/>
        <w:numPr>
          <w:ilvl w:val="0"/>
          <w:numId w:val="14"/>
        </w:numPr>
        <w:spacing w:after="0" w:line="480" w:lineRule="auto"/>
        <w:rPr>
          <w:rFonts w:ascii="Arial" w:hAnsi="Arial" w:cs="Arial"/>
          <w:sz w:val="22"/>
          <w:szCs w:val="22"/>
        </w:rPr>
      </w:pPr>
      <w:r w:rsidRPr="005224FE">
        <w:rPr>
          <w:rFonts w:ascii="Arial" w:hAnsi="Arial" w:cs="Arial"/>
          <w:sz w:val="22"/>
          <w:szCs w:val="22"/>
        </w:rPr>
        <w:t>“difficulty breathing”</w:t>
      </w:r>
    </w:p>
    <w:p w:rsidR="005224FE" w:rsidRPr="005224FE" w:rsidRDefault="005224FE" w:rsidP="00A04ED5">
      <w:pPr>
        <w:pStyle w:val="ListParagraph"/>
        <w:numPr>
          <w:ilvl w:val="0"/>
          <w:numId w:val="14"/>
        </w:numPr>
        <w:spacing w:after="0" w:line="480" w:lineRule="auto"/>
        <w:rPr>
          <w:rFonts w:ascii="Arial" w:hAnsi="Arial" w:cs="Arial"/>
          <w:sz w:val="22"/>
          <w:szCs w:val="22"/>
        </w:rPr>
      </w:pPr>
      <w:r w:rsidRPr="005224FE">
        <w:rPr>
          <w:rFonts w:ascii="Arial" w:hAnsi="Arial" w:cs="Arial"/>
          <w:sz w:val="22"/>
          <w:szCs w:val="22"/>
        </w:rPr>
        <w:t>“hemoptysis”</w:t>
      </w:r>
    </w:p>
    <w:p w:rsidR="005224FE" w:rsidRPr="005224FE" w:rsidRDefault="005224FE" w:rsidP="00A04ED5">
      <w:pPr>
        <w:pStyle w:val="ListParagraph"/>
        <w:numPr>
          <w:ilvl w:val="0"/>
          <w:numId w:val="14"/>
        </w:numPr>
        <w:spacing w:after="0" w:line="480" w:lineRule="auto"/>
        <w:rPr>
          <w:rFonts w:ascii="Arial" w:hAnsi="Arial" w:cs="Arial"/>
          <w:sz w:val="22"/>
          <w:szCs w:val="22"/>
        </w:rPr>
      </w:pPr>
      <w:r w:rsidRPr="005224FE">
        <w:rPr>
          <w:rFonts w:ascii="Arial" w:hAnsi="Arial" w:cs="Arial"/>
          <w:sz w:val="22"/>
          <w:szCs w:val="22"/>
        </w:rPr>
        <w:t>“laryngitis”</w:t>
      </w:r>
    </w:p>
    <w:p w:rsidR="005224FE" w:rsidRPr="005224FE" w:rsidRDefault="005224FE" w:rsidP="00A04ED5">
      <w:pPr>
        <w:pStyle w:val="ListParagraph"/>
        <w:numPr>
          <w:ilvl w:val="0"/>
          <w:numId w:val="14"/>
        </w:numPr>
        <w:spacing w:after="0" w:line="480" w:lineRule="auto"/>
        <w:rPr>
          <w:rFonts w:ascii="Arial" w:hAnsi="Arial" w:cs="Arial"/>
          <w:sz w:val="22"/>
          <w:szCs w:val="22"/>
        </w:rPr>
      </w:pPr>
      <w:r w:rsidRPr="005224FE">
        <w:rPr>
          <w:rFonts w:ascii="Arial" w:hAnsi="Arial" w:cs="Arial"/>
          <w:sz w:val="22"/>
          <w:szCs w:val="22"/>
        </w:rPr>
        <w:t>“lower respiratory infection”</w:t>
      </w:r>
    </w:p>
    <w:p w:rsidR="005224FE" w:rsidRPr="005224FE" w:rsidRDefault="005224FE" w:rsidP="00A04ED5">
      <w:pPr>
        <w:pStyle w:val="ListParagraph"/>
        <w:numPr>
          <w:ilvl w:val="0"/>
          <w:numId w:val="14"/>
        </w:numPr>
        <w:spacing w:after="0" w:line="480" w:lineRule="auto"/>
        <w:rPr>
          <w:rFonts w:ascii="Arial" w:hAnsi="Arial" w:cs="Arial"/>
          <w:sz w:val="22"/>
          <w:szCs w:val="22"/>
        </w:rPr>
      </w:pPr>
      <w:r w:rsidRPr="005224FE">
        <w:rPr>
          <w:rFonts w:ascii="Arial" w:hAnsi="Arial" w:cs="Arial"/>
          <w:sz w:val="22"/>
          <w:szCs w:val="22"/>
        </w:rPr>
        <w:t>“congest nasal”</w:t>
      </w:r>
    </w:p>
    <w:p w:rsidR="005224FE" w:rsidRPr="005224FE" w:rsidRDefault="005224FE" w:rsidP="00A04ED5">
      <w:pPr>
        <w:pStyle w:val="ListParagraph"/>
        <w:numPr>
          <w:ilvl w:val="0"/>
          <w:numId w:val="14"/>
        </w:numPr>
        <w:spacing w:after="0" w:line="480" w:lineRule="auto"/>
        <w:rPr>
          <w:rFonts w:ascii="Arial" w:hAnsi="Arial" w:cs="Arial"/>
          <w:sz w:val="22"/>
          <w:szCs w:val="22"/>
        </w:rPr>
      </w:pPr>
      <w:r w:rsidRPr="005224FE">
        <w:rPr>
          <w:rFonts w:ascii="Arial" w:hAnsi="Arial" w:cs="Arial"/>
          <w:sz w:val="22"/>
          <w:szCs w:val="22"/>
        </w:rPr>
        <w:t>“otitis media”</w:t>
      </w:r>
    </w:p>
    <w:p w:rsidR="005224FE" w:rsidRPr="005224FE" w:rsidRDefault="005224FE" w:rsidP="00A04ED5">
      <w:pPr>
        <w:pStyle w:val="ListParagraph"/>
        <w:numPr>
          <w:ilvl w:val="0"/>
          <w:numId w:val="14"/>
        </w:numPr>
        <w:spacing w:after="0" w:line="480" w:lineRule="auto"/>
        <w:rPr>
          <w:rFonts w:ascii="Arial" w:hAnsi="Arial" w:cs="Arial"/>
          <w:sz w:val="22"/>
          <w:szCs w:val="22"/>
        </w:rPr>
      </w:pPr>
      <w:r w:rsidRPr="005224FE">
        <w:rPr>
          <w:rFonts w:ascii="Arial" w:hAnsi="Arial" w:cs="Arial"/>
          <w:sz w:val="22"/>
          <w:szCs w:val="22"/>
        </w:rPr>
        <w:t>“pneumonia”</w:t>
      </w:r>
    </w:p>
    <w:p w:rsidR="005224FE" w:rsidRPr="005224FE" w:rsidRDefault="005224FE" w:rsidP="00A04ED5">
      <w:pPr>
        <w:pStyle w:val="ListParagraph"/>
        <w:numPr>
          <w:ilvl w:val="0"/>
          <w:numId w:val="14"/>
        </w:numPr>
        <w:spacing w:after="0" w:line="480" w:lineRule="auto"/>
        <w:rPr>
          <w:rFonts w:ascii="Arial" w:hAnsi="Arial" w:cs="Arial"/>
          <w:sz w:val="22"/>
          <w:szCs w:val="22"/>
        </w:rPr>
      </w:pPr>
      <w:r w:rsidRPr="005224FE">
        <w:rPr>
          <w:rFonts w:ascii="Arial" w:hAnsi="Arial" w:cs="Arial"/>
          <w:sz w:val="22"/>
          <w:szCs w:val="22"/>
        </w:rPr>
        <w:t>“shortness of breath”</w:t>
      </w:r>
    </w:p>
    <w:p w:rsidR="005224FE" w:rsidRPr="005224FE" w:rsidRDefault="005224FE" w:rsidP="00A04ED5">
      <w:pPr>
        <w:pStyle w:val="ListParagraph"/>
        <w:numPr>
          <w:ilvl w:val="0"/>
          <w:numId w:val="14"/>
        </w:numPr>
        <w:spacing w:after="0" w:line="480" w:lineRule="auto"/>
        <w:rPr>
          <w:rFonts w:ascii="Arial" w:hAnsi="Arial" w:cs="Arial"/>
          <w:sz w:val="22"/>
          <w:szCs w:val="22"/>
        </w:rPr>
      </w:pPr>
      <w:r w:rsidRPr="005224FE">
        <w:rPr>
          <w:rFonts w:ascii="Arial" w:hAnsi="Arial" w:cs="Arial"/>
          <w:sz w:val="22"/>
          <w:szCs w:val="22"/>
        </w:rPr>
        <w:t>“sore throat”</w:t>
      </w:r>
    </w:p>
    <w:p w:rsidR="005224FE" w:rsidRPr="005224FE" w:rsidRDefault="005224FE" w:rsidP="00A04ED5">
      <w:pPr>
        <w:pStyle w:val="ListParagraph"/>
        <w:numPr>
          <w:ilvl w:val="0"/>
          <w:numId w:val="14"/>
        </w:numPr>
        <w:spacing w:after="0" w:line="480" w:lineRule="auto"/>
        <w:rPr>
          <w:rFonts w:ascii="Arial" w:hAnsi="Arial" w:cs="Arial"/>
          <w:sz w:val="22"/>
          <w:szCs w:val="22"/>
        </w:rPr>
      </w:pPr>
      <w:r w:rsidRPr="005224FE">
        <w:rPr>
          <w:rFonts w:ascii="Arial" w:hAnsi="Arial" w:cs="Arial"/>
          <w:sz w:val="22"/>
          <w:szCs w:val="22"/>
        </w:rPr>
        <w:t>“upper respiratory infection”</w:t>
      </w:r>
    </w:p>
    <w:p w:rsidR="005224FE" w:rsidRPr="005224FE" w:rsidRDefault="005224FE" w:rsidP="00A04ED5">
      <w:pPr>
        <w:pStyle w:val="ListParagraph"/>
        <w:numPr>
          <w:ilvl w:val="0"/>
          <w:numId w:val="14"/>
        </w:numPr>
        <w:spacing w:after="0" w:line="480" w:lineRule="auto"/>
        <w:rPr>
          <w:rFonts w:ascii="Arial" w:hAnsi="Arial" w:cs="Arial"/>
          <w:sz w:val="22"/>
          <w:szCs w:val="22"/>
        </w:rPr>
      </w:pPr>
      <w:r w:rsidRPr="005224FE">
        <w:rPr>
          <w:rFonts w:ascii="Arial" w:hAnsi="Arial" w:cs="Arial"/>
          <w:sz w:val="22"/>
          <w:szCs w:val="22"/>
        </w:rPr>
        <w:t xml:space="preserve">“wheezing” </w:t>
      </w:r>
    </w:p>
    <w:p w:rsidR="005224FE" w:rsidRPr="005224FE" w:rsidRDefault="00CC780C" w:rsidP="00A04ED5">
      <w:pPr>
        <w:pStyle w:val="ListParagraph"/>
        <w:numPr>
          <w:ilvl w:val="0"/>
          <w:numId w:val="14"/>
        </w:numPr>
        <w:spacing w:after="0" w:line="480" w:lineRule="auto"/>
        <w:rPr>
          <w:rFonts w:ascii="Arial" w:hAnsi="Arial" w:cs="Arial"/>
          <w:sz w:val="22"/>
          <w:szCs w:val="22"/>
        </w:rPr>
      </w:pPr>
      <w:r w:rsidRPr="005224FE">
        <w:rPr>
          <w:rFonts w:ascii="Arial" w:hAnsi="Arial" w:cs="Arial"/>
          <w:sz w:val="22"/>
          <w:szCs w:val="22"/>
        </w:rPr>
        <w:t xml:space="preserve">“acute respiratory </w:t>
      </w:r>
      <w:r w:rsidR="005224FE" w:rsidRPr="005224FE">
        <w:rPr>
          <w:rFonts w:ascii="Arial" w:hAnsi="Arial" w:cs="Arial"/>
          <w:sz w:val="22"/>
          <w:szCs w:val="22"/>
        </w:rPr>
        <w:t>distress”</w:t>
      </w:r>
    </w:p>
    <w:p w:rsidR="005224FE" w:rsidRPr="005224FE" w:rsidRDefault="005224FE" w:rsidP="00A04ED5">
      <w:pPr>
        <w:spacing w:after="0" w:line="480" w:lineRule="auto"/>
        <w:rPr>
          <w:rFonts w:ascii="Arial" w:hAnsi="Arial" w:cs="Arial"/>
          <w:b/>
          <w:sz w:val="22"/>
          <w:szCs w:val="22"/>
        </w:rPr>
      </w:pPr>
      <w:r w:rsidRPr="005224FE">
        <w:rPr>
          <w:rFonts w:ascii="Arial" w:hAnsi="Arial" w:cs="Arial"/>
          <w:b/>
          <w:sz w:val="22"/>
          <w:szCs w:val="22"/>
        </w:rPr>
        <w:t xml:space="preserve">B.3. </w:t>
      </w:r>
      <w:r w:rsidR="00CC780C" w:rsidRPr="005224FE">
        <w:rPr>
          <w:rFonts w:ascii="Arial" w:hAnsi="Arial" w:cs="Arial"/>
          <w:b/>
          <w:sz w:val="22"/>
          <w:szCs w:val="22"/>
        </w:rPr>
        <w:t>Gastrointestinal</w:t>
      </w:r>
      <w:r w:rsidRPr="005224FE">
        <w:rPr>
          <w:rFonts w:ascii="Arial" w:hAnsi="Arial" w:cs="Arial"/>
          <w:b/>
          <w:sz w:val="22"/>
          <w:szCs w:val="22"/>
        </w:rPr>
        <w:t xml:space="preserve"> Illness</w:t>
      </w:r>
      <w:r w:rsidR="00CC780C" w:rsidRPr="005224FE">
        <w:rPr>
          <w:rFonts w:ascii="Arial" w:hAnsi="Arial" w:cs="Arial"/>
          <w:b/>
          <w:sz w:val="22"/>
          <w:szCs w:val="22"/>
        </w:rPr>
        <w:t xml:space="preserve"> (GI) </w:t>
      </w:r>
      <w:r w:rsidRPr="005224FE">
        <w:rPr>
          <w:rFonts w:ascii="Arial" w:hAnsi="Arial" w:cs="Arial"/>
          <w:b/>
          <w:sz w:val="22"/>
          <w:szCs w:val="22"/>
        </w:rPr>
        <w:t>syndrome category</w:t>
      </w:r>
    </w:p>
    <w:p w:rsidR="005224FE" w:rsidRDefault="005224FE" w:rsidP="00A04ED5">
      <w:pPr>
        <w:spacing w:after="0" w:line="480" w:lineRule="auto"/>
        <w:rPr>
          <w:rFonts w:ascii="Arial" w:hAnsi="Arial" w:cs="Arial"/>
          <w:sz w:val="22"/>
          <w:szCs w:val="22"/>
        </w:rPr>
      </w:pPr>
      <w:r>
        <w:rPr>
          <w:rFonts w:ascii="Arial" w:hAnsi="Arial" w:cs="Arial"/>
          <w:sz w:val="22"/>
          <w:szCs w:val="22"/>
        </w:rPr>
        <w:t>I</w:t>
      </w:r>
      <w:r w:rsidR="00CC780C" w:rsidRPr="00CC780C">
        <w:rPr>
          <w:rFonts w:ascii="Arial" w:hAnsi="Arial" w:cs="Arial"/>
          <w:sz w:val="22"/>
          <w:szCs w:val="22"/>
        </w:rPr>
        <w:t>nclude</w:t>
      </w:r>
      <w:r>
        <w:rPr>
          <w:rFonts w:ascii="Arial" w:hAnsi="Arial" w:cs="Arial"/>
          <w:sz w:val="22"/>
          <w:szCs w:val="22"/>
        </w:rPr>
        <w:t>s</w:t>
      </w:r>
      <w:r w:rsidR="00CC780C" w:rsidRPr="00CC780C">
        <w:rPr>
          <w:rFonts w:ascii="Arial" w:hAnsi="Arial" w:cs="Arial"/>
          <w:sz w:val="22"/>
          <w:szCs w:val="22"/>
        </w:rPr>
        <w:t xml:space="preserve"> at least one of the following sub syndromes</w:t>
      </w:r>
      <w:r>
        <w:rPr>
          <w:rFonts w:ascii="Arial" w:hAnsi="Arial" w:cs="Arial"/>
          <w:sz w:val="22"/>
          <w:szCs w:val="22"/>
        </w:rPr>
        <w:t>:</w:t>
      </w:r>
    </w:p>
    <w:p w:rsidR="005224FE" w:rsidRPr="005224FE" w:rsidRDefault="005224FE" w:rsidP="00A04ED5">
      <w:pPr>
        <w:pStyle w:val="ListParagraph"/>
        <w:numPr>
          <w:ilvl w:val="0"/>
          <w:numId w:val="15"/>
        </w:numPr>
        <w:spacing w:after="0" w:line="480" w:lineRule="auto"/>
        <w:rPr>
          <w:rFonts w:ascii="Arial" w:hAnsi="Arial" w:cs="Arial"/>
          <w:sz w:val="22"/>
          <w:szCs w:val="22"/>
        </w:rPr>
      </w:pPr>
      <w:r w:rsidRPr="005224FE">
        <w:rPr>
          <w:rFonts w:ascii="Arial" w:hAnsi="Arial" w:cs="Arial"/>
          <w:sz w:val="22"/>
          <w:szCs w:val="22"/>
        </w:rPr>
        <w:t>“abdominal pain”</w:t>
      </w:r>
    </w:p>
    <w:p w:rsidR="005224FE" w:rsidRPr="005224FE" w:rsidRDefault="005224FE" w:rsidP="00A04ED5">
      <w:pPr>
        <w:pStyle w:val="ListParagraph"/>
        <w:numPr>
          <w:ilvl w:val="0"/>
          <w:numId w:val="15"/>
        </w:numPr>
        <w:spacing w:after="0" w:line="480" w:lineRule="auto"/>
        <w:rPr>
          <w:rFonts w:ascii="Arial" w:hAnsi="Arial" w:cs="Arial"/>
          <w:sz w:val="22"/>
          <w:szCs w:val="22"/>
        </w:rPr>
      </w:pPr>
      <w:r w:rsidRPr="005224FE">
        <w:rPr>
          <w:rFonts w:ascii="Arial" w:hAnsi="Arial" w:cs="Arial"/>
          <w:sz w:val="22"/>
          <w:szCs w:val="22"/>
        </w:rPr>
        <w:t>“bloating”</w:t>
      </w:r>
    </w:p>
    <w:p w:rsidR="005224FE" w:rsidRPr="005224FE" w:rsidRDefault="005224FE" w:rsidP="00A04ED5">
      <w:pPr>
        <w:pStyle w:val="ListParagraph"/>
        <w:numPr>
          <w:ilvl w:val="0"/>
          <w:numId w:val="15"/>
        </w:numPr>
        <w:spacing w:after="0" w:line="480" w:lineRule="auto"/>
        <w:rPr>
          <w:rFonts w:ascii="Arial" w:hAnsi="Arial" w:cs="Arial"/>
          <w:sz w:val="22"/>
          <w:szCs w:val="22"/>
        </w:rPr>
      </w:pPr>
      <w:r w:rsidRPr="005224FE">
        <w:rPr>
          <w:rFonts w:ascii="Arial" w:hAnsi="Arial" w:cs="Arial"/>
          <w:sz w:val="22"/>
          <w:szCs w:val="22"/>
        </w:rPr>
        <w:t>“gastroenteritis”</w:t>
      </w:r>
    </w:p>
    <w:p w:rsidR="005224FE" w:rsidRPr="005224FE" w:rsidRDefault="005224FE" w:rsidP="00A04ED5">
      <w:pPr>
        <w:pStyle w:val="ListParagraph"/>
        <w:numPr>
          <w:ilvl w:val="0"/>
          <w:numId w:val="15"/>
        </w:numPr>
        <w:spacing w:after="0" w:line="480" w:lineRule="auto"/>
        <w:rPr>
          <w:rFonts w:ascii="Arial" w:hAnsi="Arial" w:cs="Arial"/>
          <w:sz w:val="22"/>
          <w:szCs w:val="22"/>
        </w:rPr>
      </w:pPr>
      <w:r w:rsidRPr="005224FE">
        <w:rPr>
          <w:rFonts w:ascii="Arial" w:hAnsi="Arial" w:cs="Arial"/>
          <w:sz w:val="22"/>
          <w:szCs w:val="22"/>
        </w:rPr>
        <w:lastRenderedPageBreak/>
        <w:t>“GI bleeding”</w:t>
      </w:r>
    </w:p>
    <w:p w:rsidR="005224FE" w:rsidRPr="005224FE" w:rsidRDefault="005224FE" w:rsidP="00A04ED5">
      <w:pPr>
        <w:pStyle w:val="ListParagraph"/>
        <w:numPr>
          <w:ilvl w:val="0"/>
          <w:numId w:val="15"/>
        </w:numPr>
        <w:spacing w:after="0" w:line="480" w:lineRule="auto"/>
        <w:rPr>
          <w:rFonts w:ascii="Arial" w:hAnsi="Arial" w:cs="Arial"/>
          <w:sz w:val="22"/>
          <w:szCs w:val="22"/>
        </w:rPr>
      </w:pPr>
      <w:r w:rsidRPr="005224FE">
        <w:rPr>
          <w:rFonts w:ascii="Arial" w:hAnsi="Arial" w:cs="Arial"/>
          <w:sz w:val="22"/>
          <w:szCs w:val="22"/>
        </w:rPr>
        <w:t>“loss of appetite”</w:t>
      </w:r>
    </w:p>
    <w:p w:rsidR="005224FE" w:rsidRPr="005224FE" w:rsidRDefault="005224FE" w:rsidP="00A04ED5">
      <w:pPr>
        <w:pStyle w:val="ListParagraph"/>
        <w:numPr>
          <w:ilvl w:val="0"/>
          <w:numId w:val="15"/>
        </w:numPr>
        <w:spacing w:after="0" w:line="480" w:lineRule="auto"/>
        <w:rPr>
          <w:rFonts w:ascii="Arial" w:hAnsi="Arial" w:cs="Arial"/>
          <w:sz w:val="22"/>
          <w:szCs w:val="22"/>
        </w:rPr>
      </w:pPr>
      <w:r w:rsidRPr="005224FE">
        <w:rPr>
          <w:rFonts w:ascii="Arial" w:hAnsi="Arial" w:cs="Arial"/>
          <w:sz w:val="22"/>
          <w:szCs w:val="22"/>
        </w:rPr>
        <w:t>“nausea”</w:t>
      </w:r>
    </w:p>
    <w:p w:rsidR="005224FE" w:rsidRPr="005224FE" w:rsidRDefault="005224FE" w:rsidP="00A04ED5">
      <w:pPr>
        <w:pStyle w:val="ListParagraph"/>
        <w:numPr>
          <w:ilvl w:val="0"/>
          <w:numId w:val="15"/>
        </w:numPr>
        <w:spacing w:after="0" w:line="480" w:lineRule="auto"/>
        <w:rPr>
          <w:rFonts w:ascii="Arial" w:hAnsi="Arial" w:cs="Arial"/>
          <w:sz w:val="22"/>
          <w:szCs w:val="22"/>
        </w:rPr>
      </w:pPr>
      <w:r w:rsidRPr="005224FE">
        <w:rPr>
          <w:rFonts w:ascii="Arial" w:hAnsi="Arial" w:cs="Arial"/>
          <w:sz w:val="22"/>
          <w:szCs w:val="22"/>
        </w:rPr>
        <w:t>“vomiting”</w:t>
      </w:r>
    </w:p>
    <w:p w:rsidR="005224FE" w:rsidRPr="005224FE" w:rsidRDefault="005224FE" w:rsidP="00A04ED5">
      <w:pPr>
        <w:pStyle w:val="ListParagraph"/>
        <w:numPr>
          <w:ilvl w:val="0"/>
          <w:numId w:val="15"/>
        </w:numPr>
        <w:spacing w:after="0" w:line="480" w:lineRule="auto"/>
        <w:rPr>
          <w:rFonts w:ascii="Arial" w:hAnsi="Arial" w:cs="Arial"/>
          <w:sz w:val="22"/>
          <w:szCs w:val="22"/>
        </w:rPr>
      </w:pPr>
      <w:r w:rsidRPr="005224FE">
        <w:rPr>
          <w:rFonts w:ascii="Arial" w:hAnsi="Arial" w:cs="Arial"/>
          <w:sz w:val="22"/>
          <w:szCs w:val="22"/>
        </w:rPr>
        <w:t>“diarrhea”</w:t>
      </w:r>
    </w:p>
    <w:p w:rsidR="005224FE" w:rsidRPr="005224FE" w:rsidRDefault="005224FE" w:rsidP="00A04ED5">
      <w:pPr>
        <w:pStyle w:val="ListParagraph"/>
        <w:numPr>
          <w:ilvl w:val="0"/>
          <w:numId w:val="15"/>
        </w:numPr>
        <w:spacing w:after="0" w:line="480" w:lineRule="auto"/>
        <w:rPr>
          <w:rFonts w:ascii="Arial" w:hAnsi="Arial" w:cs="Arial"/>
          <w:sz w:val="22"/>
          <w:szCs w:val="22"/>
        </w:rPr>
      </w:pPr>
      <w:r w:rsidRPr="005224FE">
        <w:rPr>
          <w:rFonts w:ascii="Arial" w:hAnsi="Arial" w:cs="Arial"/>
          <w:sz w:val="22"/>
          <w:szCs w:val="22"/>
        </w:rPr>
        <w:t>“food poisoning”</w:t>
      </w:r>
    </w:p>
    <w:p w:rsidR="005224FE" w:rsidRDefault="005224FE" w:rsidP="00A04ED5">
      <w:pPr>
        <w:spacing w:after="0" w:line="480" w:lineRule="auto"/>
        <w:rPr>
          <w:rFonts w:ascii="Arial" w:hAnsi="Arial" w:cs="Arial"/>
          <w:b/>
          <w:sz w:val="22"/>
          <w:szCs w:val="22"/>
        </w:rPr>
      </w:pPr>
      <w:r w:rsidRPr="005224FE">
        <w:rPr>
          <w:rFonts w:ascii="Arial" w:hAnsi="Arial" w:cs="Arial"/>
          <w:b/>
          <w:sz w:val="22"/>
          <w:szCs w:val="22"/>
        </w:rPr>
        <w:t xml:space="preserve">B.4. Physical </w:t>
      </w:r>
      <w:r w:rsidR="00CC780C" w:rsidRPr="005224FE">
        <w:rPr>
          <w:rFonts w:ascii="Arial" w:hAnsi="Arial" w:cs="Arial"/>
          <w:b/>
          <w:sz w:val="22"/>
          <w:szCs w:val="22"/>
        </w:rPr>
        <w:t xml:space="preserve">Injury </w:t>
      </w:r>
      <w:r w:rsidRPr="005224FE">
        <w:rPr>
          <w:rFonts w:ascii="Arial" w:hAnsi="Arial" w:cs="Arial"/>
          <w:b/>
          <w:sz w:val="22"/>
          <w:szCs w:val="22"/>
        </w:rPr>
        <w:t xml:space="preserve">syndrome </w:t>
      </w:r>
      <w:r w:rsidR="00CC780C" w:rsidRPr="005224FE">
        <w:rPr>
          <w:rFonts w:ascii="Arial" w:hAnsi="Arial" w:cs="Arial"/>
          <w:b/>
          <w:sz w:val="22"/>
          <w:szCs w:val="22"/>
        </w:rPr>
        <w:t>categor</w:t>
      </w:r>
      <w:r w:rsidRPr="005224FE">
        <w:rPr>
          <w:rFonts w:ascii="Arial" w:hAnsi="Arial" w:cs="Arial"/>
          <w:b/>
          <w:sz w:val="22"/>
          <w:szCs w:val="22"/>
        </w:rPr>
        <w:t xml:space="preserve">y </w:t>
      </w:r>
    </w:p>
    <w:p w:rsidR="005224FE" w:rsidRPr="005224FE" w:rsidRDefault="005224FE" w:rsidP="00A04ED5">
      <w:pPr>
        <w:spacing w:after="0" w:line="480" w:lineRule="auto"/>
        <w:rPr>
          <w:rFonts w:ascii="Arial" w:hAnsi="Arial" w:cs="Arial"/>
          <w:sz w:val="22"/>
          <w:szCs w:val="22"/>
        </w:rPr>
      </w:pPr>
      <w:r>
        <w:rPr>
          <w:rFonts w:ascii="Arial" w:hAnsi="Arial" w:cs="Arial"/>
          <w:sz w:val="22"/>
          <w:szCs w:val="22"/>
        </w:rPr>
        <w:t>I</w:t>
      </w:r>
      <w:r w:rsidRPr="005224FE">
        <w:rPr>
          <w:rFonts w:ascii="Arial" w:hAnsi="Arial" w:cs="Arial"/>
          <w:sz w:val="22"/>
          <w:szCs w:val="22"/>
        </w:rPr>
        <w:t>ncludes at least one of the following sub syndromes:</w:t>
      </w:r>
    </w:p>
    <w:p w:rsidR="005224FE" w:rsidRDefault="005224FE" w:rsidP="00A04ED5">
      <w:pPr>
        <w:spacing w:after="0" w:line="480" w:lineRule="auto"/>
        <w:rPr>
          <w:rFonts w:ascii="Arial" w:hAnsi="Arial" w:cs="Arial"/>
          <w:sz w:val="22"/>
          <w:szCs w:val="22"/>
        </w:rPr>
      </w:pPr>
      <w:r>
        <w:rPr>
          <w:rFonts w:ascii="Arial" w:hAnsi="Arial" w:cs="Arial"/>
          <w:sz w:val="22"/>
          <w:szCs w:val="22"/>
        </w:rPr>
        <w:t>“</w:t>
      </w:r>
      <w:proofErr w:type="gramStart"/>
      <w:r>
        <w:rPr>
          <w:rFonts w:ascii="Arial" w:hAnsi="Arial" w:cs="Arial"/>
          <w:sz w:val="22"/>
          <w:szCs w:val="22"/>
        </w:rPr>
        <w:t>bite</w:t>
      </w:r>
      <w:proofErr w:type="gramEnd"/>
      <w:r>
        <w:rPr>
          <w:rFonts w:ascii="Arial" w:hAnsi="Arial" w:cs="Arial"/>
          <w:sz w:val="22"/>
          <w:szCs w:val="22"/>
        </w:rPr>
        <w:t xml:space="preserve"> or sting”</w:t>
      </w:r>
    </w:p>
    <w:p w:rsidR="005224FE" w:rsidRDefault="005224FE" w:rsidP="00A04ED5">
      <w:pPr>
        <w:spacing w:after="0" w:line="480" w:lineRule="auto"/>
        <w:rPr>
          <w:rFonts w:ascii="Arial" w:hAnsi="Arial" w:cs="Arial"/>
          <w:sz w:val="22"/>
          <w:szCs w:val="22"/>
        </w:rPr>
      </w:pPr>
      <w:r>
        <w:rPr>
          <w:rFonts w:ascii="Arial" w:hAnsi="Arial" w:cs="Arial"/>
          <w:sz w:val="22"/>
          <w:szCs w:val="22"/>
        </w:rPr>
        <w:t>“</w:t>
      </w:r>
      <w:proofErr w:type="gramStart"/>
      <w:r>
        <w:rPr>
          <w:rFonts w:ascii="Arial" w:hAnsi="Arial" w:cs="Arial"/>
          <w:sz w:val="22"/>
          <w:szCs w:val="22"/>
        </w:rPr>
        <w:t>cut</w:t>
      </w:r>
      <w:proofErr w:type="gramEnd"/>
      <w:r>
        <w:rPr>
          <w:rFonts w:ascii="Arial" w:hAnsi="Arial" w:cs="Arial"/>
          <w:sz w:val="22"/>
          <w:szCs w:val="22"/>
        </w:rPr>
        <w:t xml:space="preserve"> or pierce”</w:t>
      </w:r>
    </w:p>
    <w:p w:rsidR="005224FE" w:rsidRDefault="005224FE" w:rsidP="00A04ED5">
      <w:pPr>
        <w:spacing w:after="0" w:line="480" w:lineRule="auto"/>
        <w:rPr>
          <w:rFonts w:ascii="Arial" w:hAnsi="Arial" w:cs="Arial"/>
          <w:sz w:val="22"/>
          <w:szCs w:val="22"/>
        </w:rPr>
      </w:pPr>
      <w:r>
        <w:rPr>
          <w:rFonts w:ascii="Arial" w:hAnsi="Arial" w:cs="Arial"/>
          <w:sz w:val="22"/>
          <w:szCs w:val="22"/>
        </w:rPr>
        <w:t>“</w:t>
      </w:r>
      <w:proofErr w:type="gramStart"/>
      <w:r>
        <w:rPr>
          <w:rFonts w:ascii="Arial" w:hAnsi="Arial" w:cs="Arial"/>
          <w:sz w:val="22"/>
          <w:szCs w:val="22"/>
        </w:rPr>
        <w:t>drowning</w:t>
      </w:r>
      <w:proofErr w:type="gramEnd"/>
      <w:r>
        <w:rPr>
          <w:rFonts w:ascii="Arial" w:hAnsi="Arial" w:cs="Arial"/>
          <w:sz w:val="22"/>
          <w:szCs w:val="22"/>
        </w:rPr>
        <w:t xml:space="preserve"> or submersion”</w:t>
      </w:r>
    </w:p>
    <w:p w:rsidR="005224FE" w:rsidRDefault="005224FE" w:rsidP="00A04ED5">
      <w:pPr>
        <w:spacing w:after="0" w:line="480" w:lineRule="auto"/>
        <w:rPr>
          <w:rFonts w:ascii="Arial" w:hAnsi="Arial" w:cs="Arial"/>
          <w:sz w:val="22"/>
          <w:szCs w:val="22"/>
        </w:rPr>
      </w:pPr>
      <w:r>
        <w:rPr>
          <w:rFonts w:ascii="Arial" w:hAnsi="Arial" w:cs="Arial"/>
          <w:sz w:val="22"/>
          <w:szCs w:val="22"/>
        </w:rPr>
        <w:t>“</w:t>
      </w:r>
      <w:proofErr w:type="gramStart"/>
      <w:r>
        <w:rPr>
          <w:rFonts w:ascii="Arial" w:hAnsi="Arial" w:cs="Arial"/>
          <w:sz w:val="22"/>
          <w:szCs w:val="22"/>
        </w:rPr>
        <w:t>electrocution</w:t>
      </w:r>
      <w:proofErr w:type="gramEnd"/>
      <w:r>
        <w:rPr>
          <w:rFonts w:ascii="Arial" w:hAnsi="Arial" w:cs="Arial"/>
          <w:sz w:val="22"/>
          <w:szCs w:val="22"/>
        </w:rPr>
        <w:t>”</w:t>
      </w:r>
    </w:p>
    <w:p w:rsidR="005224FE" w:rsidRDefault="005224FE" w:rsidP="00A04ED5">
      <w:pPr>
        <w:spacing w:after="0" w:line="480" w:lineRule="auto"/>
        <w:rPr>
          <w:rFonts w:ascii="Arial" w:hAnsi="Arial" w:cs="Arial"/>
          <w:sz w:val="22"/>
          <w:szCs w:val="22"/>
        </w:rPr>
      </w:pPr>
      <w:r>
        <w:rPr>
          <w:rFonts w:ascii="Arial" w:hAnsi="Arial" w:cs="Arial"/>
          <w:sz w:val="22"/>
          <w:szCs w:val="22"/>
        </w:rPr>
        <w:t>“</w:t>
      </w:r>
      <w:proofErr w:type="gramStart"/>
      <w:r>
        <w:rPr>
          <w:rFonts w:ascii="Arial" w:hAnsi="Arial" w:cs="Arial"/>
          <w:sz w:val="22"/>
          <w:szCs w:val="22"/>
        </w:rPr>
        <w:t>excessive</w:t>
      </w:r>
      <w:proofErr w:type="gramEnd"/>
      <w:r>
        <w:rPr>
          <w:rFonts w:ascii="Arial" w:hAnsi="Arial" w:cs="Arial"/>
          <w:sz w:val="22"/>
          <w:szCs w:val="22"/>
        </w:rPr>
        <w:t xml:space="preserve"> heat”</w:t>
      </w:r>
    </w:p>
    <w:p w:rsidR="005224FE" w:rsidRDefault="005224FE" w:rsidP="00A04ED5">
      <w:pPr>
        <w:spacing w:after="0" w:line="480" w:lineRule="auto"/>
        <w:rPr>
          <w:rFonts w:ascii="Arial" w:hAnsi="Arial" w:cs="Arial"/>
          <w:sz w:val="22"/>
          <w:szCs w:val="22"/>
        </w:rPr>
      </w:pPr>
      <w:r>
        <w:rPr>
          <w:rFonts w:ascii="Arial" w:hAnsi="Arial" w:cs="Arial"/>
          <w:sz w:val="22"/>
          <w:szCs w:val="22"/>
        </w:rPr>
        <w:t>“</w:t>
      </w:r>
      <w:proofErr w:type="gramStart"/>
      <w:r>
        <w:rPr>
          <w:rFonts w:ascii="Arial" w:hAnsi="Arial" w:cs="Arial"/>
          <w:sz w:val="22"/>
          <w:szCs w:val="22"/>
        </w:rPr>
        <w:t>fall</w:t>
      </w:r>
      <w:proofErr w:type="gramEnd"/>
      <w:r>
        <w:rPr>
          <w:rFonts w:ascii="Arial" w:hAnsi="Arial" w:cs="Arial"/>
          <w:sz w:val="22"/>
          <w:szCs w:val="22"/>
        </w:rPr>
        <w:t>”</w:t>
      </w:r>
    </w:p>
    <w:p w:rsidR="005224FE" w:rsidRDefault="005224FE" w:rsidP="00A04ED5">
      <w:pPr>
        <w:spacing w:after="0" w:line="480" w:lineRule="auto"/>
        <w:rPr>
          <w:rFonts w:ascii="Arial" w:hAnsi="Arial" w:cs="Arial"/>
          <w:sz w:val="22"/>
          <w:szCs w:val="22"/>
        </w:rPr>
      </w:pPr>
      <w:r>
        <w:rPr>
          <w:rFonts w:ascii="Arial" w:hAnsi="Arial" w:cs="Arial"/>
          <w:sz w:val="22"/>
          <w:szCs w:val="22"/>
        </w:rPr>
        <w:t>“</w:t>
      </w:r>
      <w:proofErr w:type="gramStart"/>
      <w:r>
        <w:rPr>
          <w:rFonts w:ascii="Arial" w:hAnsi="Arial" w:cs="Arial"/>
          <w:sz w:val="22"/>
          <w:szCs w:val="22"/>
        </w:rPr>
        <w:t>fire</w:t>
      </w:r>
      <w:proofErr w:type="gramEnd"/>
      <w:r>
        <w:rPr>
          <w:rFonts w:ascii="Arial" w:hAnsi="Arial" w:cs="Arial"/>
          <w:sz w:val="22"/>
          <w:szCs w:val="22"/>
        </w:rPr>
        <w:t xml:space="preserve"> burn explosives”</w:t>
      </w:r>
    </w:p>
    <w:p w:rsidR="005224FE" w:rsidRDefault="005224FE" w:rsidP="00A04ED5">
      <w:pPr>
        <w:spacing w:after="0" w:line="480" w:lineRule="auto"/>
        <w:rPr>
          <w:rFonts w:ascii="Arial" w:hAnsi="Arial" w:cs="Arial"/>
          <w:sz w:val="22"/>
          <w:szCs w:val="22"/>
        </w:rPr>
      </w:pPr>
      <w:r>
        <w:rPr>
          <w:rFonts w:ascii="Arial" w:hAnsi="Arial" w:cs="Arial"/>
          <w:sz w:val="22"/>
          <w:szCs w:val="22"/>
        </w:rPr>
        <w:t>“</w:t>
      </w:r>
      <w:proofErr w:type="gramStart"/>
      <w:r>
        <w:rPr>
          <w:rFonts w:ascii="Arial" w:hAnsi="Arial" w:cs="Arial"/>
          <w:sz w:val="22"/>
          <w:szCs w:val="22"/>
        </w:rPr>
        <w:t>motor</w:t>
      </w:r>
      <w:proofErr w:type="gramEnd"/>
      <w:r>
        <w:rPr>
          <w:rFonts w:ascii="Arial" w:hAnsi="Arial" w:cs="Arial"/>
          <w:sz w:val="22"/>
          <w:szCs w:val="22"/>
        </w:rPr>
        <w:t xml:space="preserve"> vehicle”</w:t>
      </w:r>
    </w:p>
    <w:p w:rsidR="005224FE" w:rsidRDefault="005224FE" w:rsidP="00A04ED5">
      <w:pPr>
        <w:spacing w:after="0" w:line="480" w:lineRule="auto"/>
        <w:rPr>
          <w:rFonts w:ascii="Arial" w:hAnsi="Arial" w:cs="Arial"/>
          <w:sz w:val="22"/>
          <w:szCs w:val="22"/>
        </w:rPr>
      </w:pPr>
      <w:r>
        <w:rPr>
          <w:rFonts w:ascii="Arial" w:hAnsi="Arial" w:cs="Arial"/>
          <w:sz w:val="22"/>
          <w:szCs w:val="22"/>
        </w:rPr>
        <w:t>“</w:t>
      </w:r>
      <w:proofErr w:type="gramStart"/>
      <w:r>
        <w:rPr>
          <w:rFonts w:ascii="Arial" w:hAnsi="Arial" w:cs="Arial"/>
          <w:sz w:val="22"/>
          <w:szCs w:val="22"/>
        </w:rPr>
        <w:t>occupational</w:t>
      </w:r>
      <w:proofErr w:type="gramEnd"/>
      <w:r>
        <w:rPr>
          <w:rFonts w:ascii="Arial" w:hAnsi="Arial" w:cs="Arial"/>
          <w:sz w:val="22"/>
          <w:szCs w:val="22"/>
        </w:rPr>
        <w:t>”</w:t>
      </w:r>
    </w:p>
    <w:p w:rsidR="005224FE" w:rsidRDefault="005224FE" w:rsidP="00A04ED5">
      <w:pPr>
        <w:spacing w:after="0" w:line="480" w:lineRule="auto"/>
        <w:rPr>
          <w:rFonts w:ascii="Arial" w:hAnsi="Arial" w:cs="Arial"/>
          <w:sz w:val="22"/>
          <w:szCs w:val="22"/>
        </w:rPr>
      </w:pPr>
      <w:r>
        <w:rPr>
          <w:rFonts w:ascii="Arial" w:hAnsi="Arial" w:cs="Arial"/>
          <w:sz w:val="22"/>
          <w:szCs w:val="22"/>
        </w:rPr>
        <w:t>“</w:t>
      </w:r>
      <w:proofErr w:type="gramStart"/>
      <w:r>
        <w:rPr>
          <w:rFonts w:ascii="Arial" w:hAnsi="Arial" w:cs="Arial"/>
          <w:sz w:val="22"/>
          <w:szCs w:val="22"/>
        </w:rPr>
        <w:t>overexertion</w:t>
      </w:r>
      <w:proofErr w:type="gramEnd"/>
      <w:r>
        <w:rPr>
          <w:rFonts w:ascii="Arial" w:hAnsi="Arial" w:cs="Arial"/>
          <w:sz w:val="22"/>
          <w:szCs w:val="22"/>
        </w:rPr>
        <w:t>”</w:t>
      </w:r>
    </w:p>
    <w:p w:rsidR="005224FE" w:rsidRDefault="005224FE" w:rsidP="00A04ED5">
      <w:pPr>
        <w:spacing w:after="0" w:line="480" w:lineRule="auto"/>
        <w:rPr>
          <w:rFonts w:ascii="Arial" w:hAnsi="Arial" w:cs="Arial"/>
          <w:sz w:val="22"/>
          <w:szCs w:val="22"/>
        </w:rPr>
      </w:pPr>
      <w:r>
        <w:rPr>
          <w:rFonts w:ascii="Arial" w:hAnsi="Arial" w:cs="Arial"/>
          <w:sz w:val="22"/>
          <w:szCs w:val="22"/>
        </w:rPr>
        <w:t>“</w:t>
      </w:r>
      <w:proofErr w:type="gramStart"/>
      <w:r>
        <w:rPr>
          <w:rFonts w:ascii="Arial" w:hAnsi="Arial" w:cs="Arial"/>
          <w:sz w:val="22"/>
          <w:szCs w:val="22"/>
        </w:rPr>
        <w:t>poisoning</w:t>
      </w:r>
      <w:proofErr w:type="gramEnd"/>
      <w:r>
        <w:rPr>
          <w:rFonts w:ascii="Arial" w:hAnsi="Arial" w:cs="Arial"/>
          <w:sz w:val="22"/>
          <w:szCs w:val="22"/>
        </w:rPr>
        <w:t>”</w:t>
      </w:r>
    </w:p>
    <w:p w:rsidR="005224FE" w:rsidRDefault="005224FE" w:rsidP="00A04ED5">
      <w:pPr>
        <w:spacing w:after="0" w:line="480" w:lineRule="auto"/>
        <w:rPr>
          <w:rFonts w:ascii="Arial" w:hAnsi="Arial" w:cs="Arial"/>
          <w:sz w:val="22"/>
          <w:szCs w:val="22"/>
        </w:rPr>
      </w:pPr>
      <w:r>
        <w:rPr>
          <w:rFonts w:ascii="Arial" w:hAnsi="Arial" w:cs="Arial"/>
          <w:sz w:val="22"/>
          <w:szCs w:val="22"/>
        </w:rPr>
        <w:t>“</w:t>
      </w:r>
      <w:proofErr w:type="gramStart"/>
      <w:r w:rsidR="00CC780C" w:rsidRPr="00CC780C">
        <w:rPr>
          <w:rFonts w:ascii="Arial" w:hAnsi="Arial" w:cs="Arial"/>
          <w:sz w:val="22"/>
          <w:szCs w:val="22"/>
        </w:rPr>
        <w:t>struck</w:t>
      </w:r>
      <w:proofErr w:type="gramEnd"/>
      <w:r w:rsidR="00CC780C" w:rsidRPr="00CC780C">
        <w:rPr>
          <w:rFonts w:ascii="Arial" w:hAnsi="Arial" w:cs="Arial"/>
          <w:sz w:val="22"/>
          <w:szCs w:val="22"/>
        </w:rPr>
        <w:t xml:space="preserve"> by”, </w:t>
      </w:r>
    </w:p>
    <w:p w:rsidR="005224FE" w:rsidRDefault="00CC780C" w:rsidP="00A04ED5">
      <w:pPr>
        <w:spacing w:after="0" w:line="480" w:lineRule="auto"/>
        <w:rPr>
          <w:rFonts w:ascii="Arial" w:hAnsi="Arial" w:cs="Arial"/>
          <w:sz w:val="22"/>
          <w:szCs w:val="22"/>
        </w:rPr>
      </w:pPr>
      <w:r w:rsidRPr="00CC780C">
        <w:rPr>
          <w:rFonts w:ascii="Arial" w:hAnsi="Arial" w:cs="Arial"/>
          <w:sz w:val="22"/>
          <w:szCs w:val="22"/>
        </w:rPr>
        <w:t>“</w:t>
      </w:r>
      <w:proofErr w:type="gramStart"/>
      <w:r w:rsidR="005224FE">
        <w:rPr>
          <w:rFonts w:ascii="Arial" w:hAnsi="Arial" w:cs="Arial"/>
          <w:sz w:val="22"/>
          <w:szCs w:val="22"/>
        </w:rPr>
        <w:t>tools</w:t>
      </w:r>
      <w:proofErr w:type="gramEnd"/>
      <w:r w:rsidR="005224FE">
        <w:rPr>
          <w:rFonts w:ascii="Arial" w:hAnsi="Arial" w:cs="Arial"/>
          <w:sz w:val="22"/>
          <w:szCs w:val="22"/>
        </w:rPr>
        <w:t xml:space="preserve"> or machinery”</w:t>
      </w:r>
      <w:r w:rsidRPr="00CC780C">
        <w:rPr>
          <w:rFonts w:ascii="Arial" w:hAnsi="Arial" w:cs="Arial"/>
          <w:sz w:val="22"/>
          <w:szCs w:val="22"/>
        </w:rPr>
        <w:t xml:space="preserve"> </w:t>
      </w:r>
    </w:p>
    <w:p w:rsidR="005224FE" w:rsidRDefault="005224FE" w:rsidP="00A04ED5">
      <w:pPr>
        <w:spacing w:after="0" w:line="480" w:lineRule="auto"/>
        <w:rPr>
          <w:rFonts w:ascii="Arial" w:hAnsi="Arial" w:cs="Arial"/>
          <w:sz w:val="22"/>
          <w:szCs w:val="22"/>
        </w:rPr>
      </w:pPr>
      <w:r>
        <w:rPr>
          <w:rFonts w:ascii="Arial" w:hAnsi="Arial" w:cs="Arial"/>
          <w:sz w:val="22"/>
          <w:szCs w:val="22"/>
        </w:rPr>
        <w:t>“</w:t>
      </w:r>
      <w:proofErr w:type="gramStart"/>
      <w:r>
        <w:rPr>
          <w:rFonts w:ascii="Arial" w:hAnsi="Arial" w:cs="Arial"/>
          <w:sz w:val="22"/>
          <w:szCs w:val="22"/>
        </w:rPr>
        <w:t>firearm</w:t>
      </w:r>
      <w:proofErr w:type="gramEnd"/>
      <w:r>
        <w:rPr>
          <w:rFonts w:ascii="Arial" w:hAnsi="Arial" w:cs="Arial"/>
          <w:sz w:val="22"/>
          <w:szCs w:val="22"/>
        </w:rPr>
        <w:t>”</w:t>
      </w:r>
    </w:p>
    <w:p w:rsidR="005224FE" w:rsidRDefault="005224FE" w:rsidP="00A04ED5">
      <w:pPr>
        <w:spacing w:after="0" w:line="480" w:lineRule="auto"/>
        <w:rPr>
          <w:rFonts w:ascii="Arial" w:hAnsi="Arial" w:cs="Arial"/>
          <w:sz w:val="22"/>
          <w:szCs w:val="22"/>
        </w:rPr>
      </w:pPr>
      <w:r>
        <w:rPr>
          <w:rFonts w:ascii="Arial" w:hAnsi="Arial" w:cs="Arial"/>
          <w:sz w:val="22"/>
          <w:szCs w:val="22"/>
        </w:rPr>
        <w:t>“</w:t>
      </w:r>
      <w:proofErr w:type="gramStart"/>
      <w:r>
        <w:rPr>
          <w:rFonts w:ascii="Arial" w:hAnsi="Arial" w:cs="Arial"/>
          <w:sz w:val="22"/>
          <w:szCs w:val="22"/>
        </w:rPr>
        <w:t>non-motor</w:t>
      </w:r>
      <w:proofErr w:type="gramEnd"/>
      <w:r>
        <w:rPr>
          <w:rFonts w:ascii="Arial" w:hAnsi="Arial" w:cs="Arial"/>
          <w:sz w:val="22"/>
          <w:szCs w:val="22"/>
        </w:rPr>
        <w:t xml:space="preserve"> vehicle”</w:t>
      </w:r>
    </w:p>
    <w:p w:rsidR="005224FE" w:rsidRDefault="005224FE" w:rsidP="00A04ED5">
      <w:pPr>
        <w:spacing w:after="0" w:line="480" w:lineRule="auto"/>
        <w:rPr>
          <w:rFonts w:ascii="Arial" w:hAnsi="Arial" w:cs="Arial"/>
          <w:sz w:val="22"/>
          <w:szCs w:val="22"/>
        </w:rPr>
      </w:pPr>
      <w:r>
        <w:rPr>
          <w:rFonts w:ascii="Arial" w:hAnsi="Arial" w:cs="Arial"/>
          <w:sz w:val="22"/>
          <w:szCs w:val="22"/>
        </w:rPr>
        <w:t>“</w:t>
      </w:r>
      <w:proofErr w:type="gramStart"/>
      <w:r>
        <w:rPr>
          <w:rFonts w:ascii="Arial" w:hAnsi="Arial" w:cs="Arial"/>
          <w:sz w:val="22"/>
          <w:szCs w:val="22"/>
        </w:rPr>
        <w:t>suffocation</w:t>
      </w:r>
      <w:proofErr w:type="gramEnd"/>
      <w:r>
        <w:rPr>
          <w:rFonts w:ascii="Arial" w:hAnsi="Arial" w:cs="Arial"/>
          <w:sz w:val="22"/>
          <w:szCs w:val="22"/>
        </w:rPr>
        <w:t>”</w:t>
      </w:r>
    </w:p>
    <w:p w:rsidR="005224FE" w:rsidRDefault="005224FE" w:rsidP="00A04ED5">
      <w:pPr>
        <w:spacing w:after="0" w:line="480" w:lineRule="auto"/>
        <w:rPr>
          <w:rFonts w:ascii="Arial" w:hAnsi="Arial" w:cs="Arial"/>
          <w:sz w:val="22"/>
          <w:szCs w:val="22"/>
        </w:rPr>
      </w:pPr>
      <w:r>
        <w:rPr>
          <w:rFonts w:ascii="Arial" w:hAnsi="Arial" w:cs="Arial"/>
          <w:sz w:val="22"/>
          <w:szCs w:val="22"/>
        </w:rPr>
        <w:t>“</w:t>
      </w:r>
      <w:proofErr w:type="gramStart"/>
      <w:r>
        <w:rPr>
          <w:rFonts w:ascii="Arial" w:hAnsi="Arial" w:cs="Arial"/>
          <w:sz w:val="22"/>
          <w:szCs w:val="22"/>
        </w:rPr>
        <w:t>assault</w:t>
      </w:r>
      <w:proofErr w:type="gramEnd"/>
      <w:r>
        <w:rPr>
          <w:rFonts w:ascii="Arial" w:hAnsi="Arial" w:cs="Arial"/>
          <w:sz w:val="22"/>
          <w:szCs w:val="22"/>
        </w:rPr>
        <w:t>”</w:t>
      </w:r>
    </w:p>
    <w:p w:rsidR="005224FE" w:rsidRDefault="005224FE" w:rsidP="00A04ED5">
      <w:pPr>
        <w:spacing w:after="0" w:line="480" w:lineRule="auto"/>
        <w:rPr>
          <w:rFonts w:ascii="Arial" w:hAnsi="Arial" w:cs="Arial"/>
          <w:sz w:val="22"/>
          <w:szCs w:val="22"/>
        </w:rPr>
      </w:pPr>
      <w:r>
        <w:rPr>
          <w:rFonts w:ascii="Arial" w:hAnsi="Arial" w:cs="Arial"/>
          <w:sz w:val="22"/>
          <w:szCs w:val="22"/>
        </w:rPr>
        <w:t>“</w:t>
      </w:r>
      <w:proofErr w:type="gramStart"/>
      <w:r>
        <w:rPr>
          <w:rFonts w:ascii="Arial" w:hAnsi="Arial" w:cs="Arial"/>
          <w:sz w:val="22"/>
          <w:szCs w:val="22"/>
        </w:rPr>
        <w:t>foreign</w:t>
      </w:r>
      <w:proofErr w:type="gramEnd"/>
      <w:r>
        <w:rPr>
          <w:rFonts w:ascii="Arial" w:hAnsi="Arial" w:cs="Arial"/>
          <w:sz w:val="22"/>
          <w:szCs w:val="22"/>
        </w:rPr>
        <w:t xml:space="preserve"> body”</w:t>
      </w:r>
    </w:p>
    <w:p w:rsidR="005224FE" w:rsidRDefault="005224FE" w:rsidP="00A04ED5">
      <w:pPr>
        <w:spacing w:after="0" w:line="480" w:lineRule="auto"/>
        <w:rPr>
          <w:rFonts w:ascii="Arial" w:hAnsi="Arial" w:cs="Arial"/>
          <w:sz w:val="22"/>
          <w:szCs w:val="22"/>
        </w:rPr>
      </w:pPr>
      <w:r>
        <w:rPr>
          <w:rFonts w:ascii="Arial" w:hAnsi="Arial" w:cs="Arial"/>
          <w:sz w:val="22"/>
          <w:szCs w:val="22"/>
        </w:rPr>
        <w:lastRenderedPageBreak/>
        <w:t>“</w:t>
      </w:r>
      <w:proofErr w:type="gramStart"/>
      <w:r>
        <w:rPr>
          <w:rFonts w:ascii="Arial" w:hAnsi="Arial" w:cs="Arial"/>
          <w:sz w:val="22"/>
          <w:szCs w:val="22"/>
        </w:rPr>
        <w:t>suicide</w:t>
      </w:r>
      <w:proofErr w:type="gramEnd"/>
      <w:r>
        <w:rPr>
          <w:rFonts w:ascii="Arial" w:hAnsi="Arial" w:cs="Arial"/>
          <w:sz w:val="22"/>
          <w:szCs w:val="22"/>
        </w:rPr>
        <w:t xml:space="preserve"> or self-inflected”</w:t>
      </w:r>
    </w:p>
    <w:p w:rsidR="005224FE" w:rsidRDefault="005224FE" w:rsidP="00A04ED5">
      <w:pPr>
        <w:spacing w:after="0" w:line="480" w:lineRule="auto"/>
        <w:rPr>
          <w:rFonts w:ascii="Arial" w:hAnsi="Arial" w:cs="Arial"/>
          <w:sz w:val="22"/>
          <w:szCs w:val="22"/>
        </w:rPr>
      </w:pPr>
      <w:r>
        <w:rPr>
          <w:rFonts w:ascii="Arial" w:hAnsi="Arial" w:cs="Arial"/>
          <w:sz w:val="22"/>
          <w:szCs w:val="22"/>
        </w:rPr>
        <w:t>“</w:t>
      </w:r>
      <w:proofErr w:type="gramStart"/>
      <w:r>
        <w:rPr>
          <w:rFonts w:ascii="Arial" w:hAnsi="Arial" w:cs="Arial"/>
          <w:sz w:val="22"/>
          <w:szCs w:val="22"/>
        </w:rPr>
        <w:t>water</w:t>
      </w:r>
      <w:proofErr w:type="gramEnd"/>
      <w:r>
        <w:rPr>
          <w:rFonts w:ascii="Arial" w:hAnsi="Arial" w:cs="Arial"/>
          <w:sz w:val="22"/>
          <w:szCs w:val="22"/>
        </w:rPr>
        <w:t xml:space="preserve"> craft”</w:t>
      </w:r>
    </w:p>
    <w:p w:rsidR="00CC780C" w:rsidRDefault="005224FE" w:rsidP="00A04ED5">
      <w:pPr>
        <w:spacing w:after="0" w:line="480" w:lineRule="auto"/>
        <w:rPr>
          <w:rFonts w:ascii="Arial" w:hAnsi="Arial" w:cs="Arial"/>
          <w:sz w:val="22"/>
          <w:szCs w:val="22"/>
        </w:rPr>
      </w:pPr>
      <w:r>
        <w:rPr>
          <w:rFonts w:ascii="Arial" w:hAnsi="Arial" w:cs="Arial"/>
          <w:sz w:val="22"/>
          <w:szCs w:val="22"/>
        </w:rPr>
        <w:t>“</w:t>
      </w:r>
      <w:proofErr w:type="gramStart"/>
      <w:r>
        <w:rPr>
          <w:rFonts w:ascii="Arial" w:hAnsi="Arial" w:cs="Arial"/>
          <w:sz w:val="22"/>
          <w:szCs w:val="22"/>
        </w:rPr>
        <w:t>sports</w:t>
      </w:r>
      <w:proofErr w:type="gramEnd"/>
      <w:r>
        <w:rPr>
          <w:rFonts w:ascii="Arial" w:hAnsi="Arial" w:cs="Arial"/>
          <w:sz w:val="22"/>
          <w:szCs w:val="22"/>
        </w:rPr>
        <w:t xml:space="preserve"> or exercise related”</w:t>
      </w:r>
      <w:r w:rsidR="00CC780C" w:rsidRPr="00CC780C">
        <w:rPr>
          <w:rFonts w:ascii="Arial" w:hAnsi="Arial" w:cs="Arial"/>
          <w:sz w:val="22"/>
          <w:szCs w:val="22"/>
        </w:rPr>
        <w:t xml:space="preserve">   </w:t>
      </w:r>
    </w:p>
    <w:p w:rsidR="00CC780C" w:rsidRDefault="00CC780C" w:rsidP="00A04ED5">
      <w:pPr>
        <w:spacing w:after="0" w:line="480" w:lineRule="auto"/>
        <w:rPr>
          <w:rFonts w:ascii="Arial" w:hAnsi="Arial" w:cs="Arial"/>
          <w:sz w:val="22"/>
          <w:szCs w:val="22"/>
        </w:rPr>
      </w:pPr>
    </w:p>
    <w:p w:rsidR="003E5B79" w:rsidRPr="00700738" w:rsidRDefault="00F31B20" w:rsidP="00A04ED5">
      <w:pPr>
        <w:spacing w:after="0" w:line="480" w:lineRule="auto"/>
        <w:rPr>
          <w:rFonts w:ascii="Arial" w:hAnsi="Arial" w:cs="Arial"/>
          <w:b/>
          <w:sz w:val="22"/>
          <w:szCs w:val="22"/>
        </w:rPr>
      </w:pPr>
      <w:r>
        <w:rPr>
          <w:rFonts w:ascii="Arial" w:hAnsi="Arial" w:cs="Arial"/>
          <w:b/>
          <w:sz w:val="22"/>
          <w:szCs w:val="22"/>
        </w:rPr>
        <w:t xml:space="preserve">Supplementary Appendix </w:t>
      </w:r>
      <w:r w:rsidR="00CC780C">
        <w:rPr>
          <w:rFonts w:ascii="Arial" w:hAnsi="Arial" w:cs="Arial"/>
          <w:b/>
          <w:sz w:val="22"/>
          <w:szCs w:val="22"/>
        </w:rPr>
        <w:t xml:space="preserve">C. </w:t>
      </w:r>
      <w:r w:rsidR="00AC23BE">
        <w:rPr>
          <w:rFonts w:ascii="Arial" w:hAnsi="Arial" w:cs="Arial"/>
          <w:b/>
          <w:sz w:val="22"/>
          <w:szCs w:val="22"/>
        </w:rPr>
        <w:t>Bibliographic R</w:t>
      </w:r>
      <w:r w:rsidR="009F11D4">
        <w:rPr>
          <w:rFonts w:ascii="Arial" w:hAnsi="Arial" w:cs="Arial"/>
          <w:b/>
          <w:sz w:val="22"/>
          <w:szCs w:val="22"/>
        </w:rPr>
        <w:t>eferences</w:t>
      </w:r>
    </w:p>
    <w:p w:rsidR="00AD621C" w:rsidRPr="00083C7E" w:rsidRDefault="00AD621C" w:rsidP="00A04ED5">
      <w:pPr>
        <w:spacing w:after="0" w:line="480" w:lineRule="auto"/>
        <w:rPr>
          <w:rFonts w:ascii="Arial" w:hAnsi="Arial" w:cs="Arial"/>
          <w:noProof/>
          <w:sz w:val="22"/>
          <w:szCs w:val="22"/>
        </w:rPr>
      </w:pPr>
      <w:bookmarkStart w:id="1" w:name="_ENREF_1"/>
      <w:r w:rsidRPr="00083C7E">
        <w:rPr>
          <w:rFonts w:ascii="Arial" w:hAnsi="Arial" w:cs="Arial"/>
          <w:noProof/>
          <w:sz w:val="22"/>
          <w:szCs w:val="22"/>
        </w:rPr>
        <w:t>1.</w:t>
      </w:r>
      <w:r w:rsidRPr="00083C7E">
        <w:rPr>
          <w:rFonts w:ascii="Arial" w:hAnsi="Arial" w:cs="Arial"/>
          <w:noProof/>
          <w:sz w:val="22"/>
          <w:szCs w:val="22"/>
        </w:rPr>
        <w:tab/>
        <w:t xml:space="preserve">Centers for Disease C, Prevention. Assessment of the effectiveness of the 2003-04 influenza vaccine among children and adults--Colorado, 2003. </w:t>
      </w:r>
      <w:r w:rsidRPr="00083C7E">
        <w:rPr>
          <w:rFonts w:ascii="Arial" w:hAnsi="Arial" w:cs="Arial"/>
          <w:i/>
          <w:noProof/>
          <w:sz w:val="22"/>
          <w:szCs w:val="22"/>
        </w:rPr>
        <w:t>MMWR Morb Mortal Wkly Rep</w:t>
      </w:r>
      <w:r w:rsidRPr="00083C7E">
        <w:rPr>
          <w:rFonts w:ascii="Arial" w:hAnsi="Arial" w:cs="Arial"/>
          <w:noProof/>
          <w:sz w:val="22"/>
          <w:szCs w:val="22"/>
        </w:rPr>
        <w:t xml:space="preserve"> 2004; </w:t>
      </w:r>
      <w:r w:rsidRPr="00083C7E">
        <w:rPr>
          <w:rFonts w:ascii="Arial" w:hAnsi="Arial" w:cs="Arial"/>
          <w:b/>
          <w:noProof/>
          <w:sz w:val="22"/>
          <w:szCs w:val="22"/>
        </w:rPr>
        <w:t>53</w:t>
      </w:r>
      <w:r w:rsidRPr="00083C7E">
        <w:rPr>
          <w:rFonts w:ascii="Arial" w:hAnsi="Arial" w:cs="Arial"/>
          <w:noProof/>
          <w:sz w:val="22"/>
          <w:szCs w:val="22"/>
        </w:rPr>
        <w:t>(31): 707-10.</w:t>
      </w:r>
      <w:bookmarkEnd w:id="1"/>
    </w:p>
    <w:p w:rsidR="00AD621C" w:rsidRPr="00083C7E" w:rsidRDefault="00AD621C" w:rsidP="00A04ED5">
      <w:pPr>
        <w:spacing w:after="0" w:line="480" w:lineRule="auto"/>
        <w:rPr>
          <w:rFonts w:ascii="Arial" w:hAnsi="Arial" w:cs="Arial"/>
          <w:noProof/>
          <w:sz w:val="22"/>
          <w:szCs w:val="22"/>
        </w:rPr>
      </w:pPr>
      <w:bookmarkStart w:id="2" w:name="_ENREF_2"/>
      <w:r w:rsidRPr="00083C7E">
        <w:rPr>
          <w:rFonts w:ascii="Arial" w:hAnsi="Arial" w:cs="Arial"/>
          <w:noProof/>
          <w:sz w:val="22"/>
          <w:szCs w:val="22"/>
        </w:rPr>
        <w:t>2.</w:t>
      </w:r>
      <w:r w:rsidRPr="00083C7E">
        <w:rPr>
          <w:rFonts w:ascii="Arial" w:hAnsi="Arial" w:cs="Arial"/>
          <w:noProof/>
          <w:sz w:val="22"/>
          <w:szCs w:val="22"/>
        </w:rPr>
        <w:tab/>
        <w:t xml:space="preserve">Centers for Disease C, Prevention. Effectiveness of 2008-09 trivalent influenza vaccine against 2009 pandemic influenza A (H1N1) - United States, May-June 2009. </w:t>
      </w:r>
      <w:r w:rsidRPr="00083C7E">
        <w:rPr>
          <w:rFonts w:ascii="Arial" w:hAnsi="Arial" w:cs="Arial"/>
          <w:i/>
          <w:noProof/>
          <w:sz w:val="22"/>
          <w:szCs w:val="22"/>
        </w:rPr>
        <w:t>MMWR Morb Mortal Wkly Rep</w:t>
      </w:r>
      <w:r w:rsidRPr="00083C7E">
        <w:rPr>
          <w:rFonts w:ascii="Arial" w:hAnsi="Arial" w:cs="Arial"/>
          <w:noProof/>
          <w:sz w:val="22"/>
          <w:szCs w:val="22"/>
        </w:rPr>
        <w:t xml:space="preserve"> 2009; </w:t>
      </w:r>
      <w:r w:rsidRPr="00083C7E">
        <w:rPr>
          <w:rFonts w:ascii="Arial" w:hAnsi="Arial" w:cs="Arial"/>
          <w:b/>
          <w:noProof/>
          <w:sz w:val="22"/>
          <w:szCs w:val="22"/>
        </w:rPr>
        <w:t>58</w:t>
      </w:r>
      <w:r w:rsidRPr="00083C7E">
        <w:rPr>
          <w:rFonts w:ascii="Arial" w:hAnsi="Arial" w:cs="Arial"/>
          <w:noProof/>
          <w:sz w:val="22"/>
          <w:szCs w:val="22"/>
        </w:rPr>
        <w:t>(44): 1241-5.</w:t>
      </w:r>
      <w:bookmarkEnd w:id="2"/>
    </w:p>
    <w:p w:rsidR="00AD621C" w:rsidRPr="00083C7E" w:rsidRDefault="00AD621C" w:rsidP="00A04ED5">
      <w:pPr>
        <w:spacing w:after="0" w:line="480" w:lineRule="auto"/>
        <w:rPr>
          <w:rFonts w:ascii="Arial" w:hAnsi="Arial" w:cs="Arial"/>
          <w:noProof/>
          <w:sz w:val="22"/>
          <w:szCs w:val="22"/>
        </w:rPr>
      </w:pPr>
      <w:bookmarkStart w:id="3" w:name="_ENREF_3"/>
      <w:r w:rsidRPr="00083C7E">
        <w:rPr>
          <w:rFonts w:ascii="Arial" w:hAnsi="Arial" w:cs="Arial"/>
          <w:noProof/>
          <w:sz w:val="22"/>
          <w:szCs w:val="22"/>
        </w:rPr>
        <w:t>3.</w:t>
      </w:r>
      <w:r w:rsidRPr="00083C7E">
        <w:rPr>
          <w:rFonts w:ascii="Arial" w:hAnsi="Arial" w:cs="Arial"/>
          <w:noProof/>
          <w:sz w:val="22"/>
          <w:szCs w:val="22"/>
        </w:rPr>
        <w:tab/>
        <w:t xml:space="preserve">Centers for Disease C, Prevention. Interim results: state-specific seasonal influenza vaccination coverage - United States, August 2009-January 2010. </w:t>
      </w:r>
      <w:r w:rsidRPr="00083C7E">
        <w:rPr>
          <w:rFonts w:ascii="Arial" w:hAnsi="Arial" w:cs="Arial"/>
          <w:i/>
          <w:noProof/>
          <w:sz w:val="22"/>
          <w:szCs w:val="22"/>
        </w:rPr>
        <w:t>MMWR Morb Mortal Wkly Rep</w:t>
      </w:r>
      <w:r w:rsidRPr="00083C7E">
        <w:rPr>
          <w:rFonts w:ascii="Arial" w:hAnsi="Arial" w:cs="Arial"/>
          <w:noProof/>
          <w:sz w:val="22"/>
          <w:szCs w:val="22"/>
        </w:rPr>
        <w:t xml:space="preserve"> 2010; </w:t>
      </w:r>
      <w:r w:rsidRPr="00083C7E">
        <w:rPr>
          <w:rFonts w:ascii="Arial" w:hAnsi="Arial" w:cs="Arial"/>
          <w:b/>
          <w:noProof/>
          <w:sz w:val="22"/>
          <w:szCs w:val="22"/>
        </w:rPr>
        <w:t>59</w:t>
      </w:r>
      <w:r w:rsidRPr="00083C7E">
        <w:rPr>
          <w:rFonts w:ascii="Arial" w:hAnsi="Arial" w:cs="Arial"/>
          <w:noProof/>
          <w:sz w:val="22"/>
          <w:szCs w:val="22"/>
        </w:rPr>
        <w:t>(16): 477-84.</w:t>
      </w:r>
      <w:bookmarkEnd w:id="3"/>
    </w:p>
    <w:p w:rsidR="00AD621C" w:rsidRPr="00083C7E" w:rsidRDefault="00AD621C" w:rsidP="00A04ED5">
      <w:pPr>
        <w:spacing w:after="0" w:line="480" w:lineRule="auto"/>
        <w:rPr>
          <w:rFonts w:ascii="Arial" w:hAnsi="Arial" w:cs="Arial"/>
          <w:noProof/>
          <w:sz w:val="22"/>
          <w:szCs w:val="22"/>
        </w:rPr>
      </w:pPr>
      <w:bookmarkStart w:id="4" w:name="_ENREF_4"/>
      <w:r w:rsidRPr="00083C7E">
        <w:rPr>
          <w:rFonts w:ascii="Arial" w:hAnsi="Arial" w:cs="Arial"/>
          <w:noProof/>
          <w:sz w:val="22"/>
          <w:szCs w:val="22"/>
        </w:rPr>
        <w:t>4.</w:t>
      </w:r>
      <w:r w:rsidRPr="00083C7E">
        <w:rPr>
          <w:rFonts w:ascii="Arial" w:hAnsi="Arial" w:cs="Arial"/>
          <w:noProof/>
          <w:sz w:val="22"/>
          <w:szCs w:val="22"/>
        </w:rPr>
        <w:tab/>
        <w:t xml:space="preserve">Centers for Disease C, Prevention. Estimated influenza illnesses and hospitalizations averted by influenza vaccination - United States, 2012-13 influenza season. </w:t>
      </w:r>
      <w:r w:rsidRPr="00083C7E">
        <w:rPr>
          <w:rFonts w:ascii="Arial" w:hAnsi="Arial" w:cs="Arial"/>
          <w:i/>
          <w:noProof/>
          <w:sz w:val="22"/>
          <w:szCs w:val="22"/>
        </w:rPr>
        <w:t>MMWR Morb Mortal Wkly Rep</w:t>
      </w:r>
      <w:r w:rsidRPr="00083C7E">
        <w:rPr>
          <w:rFonts w:ascii="Arial" w:hAnsi="Arial" w:cs="Arial"/>
          <w:noProof/>
          <w:sz w:val="22"/>
          <w:szCs w:val="22"/>
        </w:rPr>
        <w:t xml:space="preserve"> 2013; </w:t>
      </w:r>
      <w:r w:rsidRPr="00083C7E">
        <w:rPr>
          <w:rFonts w:ascii="Arial" w:hAnsi="Arial" w:cs="Arial"/>
          <w:b/>
          <w:noProof/>
          <w:sz w:val="22"/>
          <w:szCs w:val="22"/>
        </w:rPr>
        <w:t>62</w:t>
      </w:r>
      <w:r w:rsidRPr="00083C7E">
        <w:rPr>
          <w:rFonts w:ascii="Arial" w:hAnsi="Arial" w:cs="Arial"/>
          <w:noProof/>
          <w:sz w:val="22"/>
          <w:szCs w:val="22"/>
        </w:rPr>
        <w:t>(49): 997-1000.</w:t>
      </w:r>
      <w:bookmarkEnd w:id="4"/>
    </w:p>
    <w:p w:rsidR="00AD621C" w:rsidRPr="00083C7E" w:rsidRDefault="00AD621C" w:rsidP="00A04ED5">
      <w:pPr>
        <w:spacing w:after="0" w:line="480" w:lineRule="auto"/>
        <w:rPr>
          <w:rFonts w:ascii="Arial" w:hAnsi="Arial" w:cs="Arial"/>
          <w:noProof/>
          <w:sz w:val="22"/>
          <w:szCs w:val="22"/>
        </w:rPr>
      </w:pPr>
      <w:bookmarkStart w:id="5" w:name="_ENREF_5"/>
      <w:r w:rsidRPr="00083C7E">
        <w:rPr>
          <w:rFonts w:ascii="Arial" w:hAnsi="Arial" w:cs="Arial"/>
          <w:noProof/>
          <w:sz w:val="22"/>
          <w:szCs w:val="22"/>
        </w:rPr>
        <w:t>5.</w:t>
      </w:r>
      <w:r w:rsidRPr="00083C7E">
        <w:rPr>
          <w:rFonts w:ascii="Arial" w:hAnsi="Arial" w:cs="Arial"/>
          <w:noProof/>
          <w:sz w:val="22"/>
          <w:szCs w:val="22"/>
        </w:rPr>
        <w:tab/>
        <w:t xml:space="preserve">Centers for Disease C, Prevention. Interim adjusted estimates of seasonal influenza vaccine effectiveness - United States, February 2013. </w:t>
      </w:r>
      <w:r w:rsidRPr="00083C7E">
        <w:rPr>
          <w:rFonts w:ascii="Arial" w:hAnsi="Arial" w:cs="Arial"/>
          <w:i/>
          <w:noProof/>
          <w:sz w:val="22"/>
          <w:szCs w:val="22"/>
        </w:rPr>
        <w:t>MMWR Morb Mortal Wkly Rep</w:t>
      </w:r>
      <w:r w:rsidRPr="00083C7E">
        <w:rPr>
          <w:rFonts w:ascii="Arial" w:hAnsi="Arial" w:cs="Arial"/>
          <w:noProof/>
          <w:sz w:val="22"/>
          <w:szCs w:val="22"/>
        </w:rPr>
        <w:t xml:space="preserve"> 2013; </w:t>
      </w:r>
      <w:r w:rsidRPr="00083C7E">
        <w:rPr>
          <w:rFonts w:ascii="Arial" w:hAnsi="Arial" w:cs="Arial"/>
          <w:b/>
          <w:noProof/>
          <w:sz w:val="22"/>
          <w:szCs w:val="22"/>
        </w:rPr>
        <w:t>62</w:t>
      </w:r>
      <w:r w:rsidRPr="00083C7E">
        <w:rPr>
          <w:rFonts w:ascii="Arial" w:hAnsi="Arial" w:cs="Arial"/>
          <w:noProof/>
          <w:sz w:val="22"/>
          <w:szCs w:val="22"/>
        </w:rPr>
        <w:t>(7): 119-23.</w:t>
      </w:r>
      <w:bookmarkEnd w:id="5"/>
    </w:p>
    <w:p w:rsidR="00AD621C" w:rsidRPr="00083C7E" w:rsidRDefault="00AD621C" w:rsidP="00A04ED5">
      <w:pPr>
        <w:spacing w:after="0" w:line="480" w:lineRule="auto"/>
        <w:rPr>
          <w:rFonts w:ascii="Arial" w:hAnsi="Arial" w:cs="Arial"/>
          <w:noProof/>
          <w:sz w:val="22"/>
          <w:szCs w:val="22"/>
        </w:rPr>
      </w:pPr>
      <w:bookmarkStart w:id="6" w:name="_ENREF_6"/>
      <w:r w:rsidRPr="00083C7E">
        <w:rPr>
          <w:rFonts w:ascii="Arial" w:hAnsi="Arial" w:cs="Arial"/>
          <w:noProof/>
          <w:sz w:val="22"/>
          <w:szCs w:val="22"/>
        </w:rPr>
        <w:t>6.</w:t>
      </w:r>
      <w:r w:rsidRPr="00083C7E">
        <w:rPr>
          <w:rFonts w:ascii="Arial" w:hAnsi="Arial" w:cs="Arial"/>
          <w:noProof/>
          <w:sz w:val="22"/>
          <w:szCs w:val="22"/>
        </w:rPr>
        <w:tab/>
        <w:t xml:space="preserve">Centers for Disease C, Prevention. Early estimates of seasonal influenza vaccine effectiveness--United States, January 2013. </w:t>
      </w:r>
      <w:r w:rsidRPr="00083C7E">
        <w:rPr>
          <w:rFonts w:ascii="Arial" w:hAnsi="Arial" w:cs="Arial"/>
          <w:i/>
          <w:noProof/>
          <w:sz w:val="22"/>
          <w:szCs w:val="22"/>
        </w:rPr>
        <w:t>MMWR Morb Mortal Wkly Rep</w:t>
      </w:r>
      <w:r w:rsidRPr="00083C7E">
        <w:rPr>
          <w:rFonts w:ascii="Arial" w:hAnsi="Arial" w:cs="Arial"/>
          <w:noProof/>
          <w:sz w:val="22"/>
          <w:szCs w:val="22"/>
        </w:rPr>
        <w:t xml:space="preserve"> 2013; </w:t>
      </w:r>
      <w:r w:rsidRPr="00083C7E">
        <w:rPr>
          <w:rFonts w:ascii="Arial" w:hAnsi="Arial" w:cs="Arial"/>
          <w:b/>
          <w:noProof/>
          <w:sz w:val="22"/>
          <w:szCs w:val="22"/>
        </w:rPr>
        <w:t>62</w:t>
      </w:r>
      <w:r w:rsidRPr="00083C7E">
        <w:rPr>
          <w:rFonts w:ascii="Arial" w:hAnsi="Arial" w:cs="Arial"/>
          <w:noProof/>
          <w:sz w:val="22"/>
          <w:szCs w:val="22"/>
        </w:rPr>
        <w:t>(2): 32-5.</w:t>
      </w:r>
      <w:bookmarkEnd w:id="6"/>
    </w:p>
    <w:p w:rsidR="00AD621C" w:rsidRPr="00083C7E" w:rsidRDefault="00AD621C" w:rsidP="00A04ED5">
      <w:pPr>
        <w:spacing w:after="0" w:line="480" w:lineRule="auto"/>
        <w:rPr>
          <w:rFonts w:ascii="Arial" w:hAnsi="Arial" w:cs="Arial"/>
          <w:noProof/>
          <w:sz w:val="22"/>
          <w:szCs w:val="22"/>
        </w:rPr>
      </w:pPr>
      <w:bookmarkStart w:id="7" w:name="_ENREF_7"/>
      <w:r w:rsidRPr="00083C7E">
        <w:rPr>
          <w:rFonts w:ascii="Arial" w:hAnsi="Arial" w:cs="Arial"/>
          <w:noProof/>
          <w:sz w:val="22"/>
          <w:szCs w:val="22"/>
        </w:rPr>
        <w:t>7.</w:t>
      </w:r>
      <w:r w:rsidRPr="00083C7E">
        <w:rPr>
          <w:rFonts w:ascii="Arial" w:hAnsi="Arial" w:cs="Arial"/>
          <w:noProof/>
          <w:sz w:val="22"/>
          <w:szCs w:val="22"/>
        </w:rPr>
        <w:tab/>
        <w:t xml:space="preserve">de Oliveira Jde F, Boing AF, Waldman EA, Antunes JL. Ecological study on mortality from influenza and pneumonia before and after influenza vaccination in the Northeast and South of Brazil. </w:t>
      </w:r>
      <w:r w:rsidRPr="00083C7E">
        <w:rPr>
          <w:rFonts w:ascii="Arial" w:hAnsi="Arial" w:cs="Arial"/>
          <w:i/>
          <w:noProof/>
          <w:sz w:val="22"/>
          <w:szCs w:val="22"/>
        </w:rPr>
        <w:t>Cadernos de saude publica</w:t>
      </w:r>
      <w:r w:rsidRPr="00083C7E">
        <w:rPr>
          <w:rFonts w:ascii="Arial" w:hAnsi="Arial" w:cs="Arial"/>
          <w:noProof/>
          <w:sz w:val="22"/>
          <w:szCs w:val="22"/>
        </w:rPr>
        <w:t xml:space="preserve"> 2013; </w:t>
      </w:r>
      <w:r w:rsidRPr="00083C7E">
        <w:rPr>
          <w:rFonts w:ascii="Arial" w:hAnsi="Arial" w:cs="Arial"/>
          <w:b/>
          <w:noProof/>
          <w:sz w:val="22"/>
          <w:szCs w:val="22"/>
        </w:rPr>
        <w:t>29</w:t>
      </w:r>
      <w:r w:rsidRPr="00083C7E">
        <w:rPr>
          <w:rFonts w:ascii="Arial" w:hAnsi="Arial" w:cs="Arial"/>
          <w:noProof/>
          <w:sz w:val="22"/>
          <w:szCs w:val="22"/>
        </w:rPr>
        <w:t>(12): 2535-45.</w:t>
      </w:r>
      <w:bookmarkEnd w:id="7"/>
    </w:p>
    <w:p w:rsidR="00AD621C" w:rsidRPr="00083C7E" w:rsidRDefault="00AD621C" w:rsidP="00A04ED5">
      <w:pPr>
        <w:spacing w:after="0" w:line="480" w:lineRule="auto"/>
        <w:rPr>
          <w:rFonts w:ascii="Arial" w:hAnsi="Arial" w:cs="Arial"/>
          <w:noProof/>
          <w:sz w:val="22"/>
          <w:szCs w:val="22"/>
        </w:rPr>
      </w:pPr>
      <w:bookmarkStart w:id="8" w:name="_ENREF_8"/>
      <w:r w:rsidRPr="00083C7E">
        <w:rPr>
          <w:rFonts w:ascii="Arial" w:hAnsi="Arial" w:cs="Arial"/>
          <w:noProof/>
          <w:sz w:val="22"/>
          <w:szCs w:val="22"/>
        </w:rPr>
        <w:lastRenderedPageBreak/>
        <w:t>8.</w:t>
      </w:r>
      <w:r w:rsidRPr="00083C7E">
        <w:rPr>
          <w:rFonts w:ascii="Arial" w:hAnsi="Arial" w:cs="Arial"/>
          <w:noProof/>
          <w:sz w:val="22"/>
          <w:szCs w:val="22"/>
        </w:rPr>
        <w:tab/>
        <w:t xml:space="preserve">Ridenhour BJ, Campitelli MA, Kwong JC, et al. Effectiveness of inactivated influenza vaccines in preventing influenza-associated deaths and hospitalizations among Ontario residents aged &gt;/= 65 years: estimates with generalized linear models accounting for healthy vaccinee effects. </w:t>
      </w:r>
      <w:r w:rsidRPr="00083C7E">
        <w:rPr>
          <w:rFonts w:ascii="Arial" w:hAnsi="Arial" w:cs="Arial"/>
          <w:i/>
          <w:noProof/>
          <w:sz w:val="22"/>
          <w:szCs w:val="22"/>
        </w:rPr>
        <w:t>PloS one</w:t>
      </w:r>
      <w:r w:rsidRPr="00083C7E">
        <w:rPr>
          <w:rFonts w:ascii="Arial" w:hAnsi="Arial" w:cs="Arial"/>
          <w:noProof/>
          <w:sz w:val="22"/>
          <w:szCs w:val="22"/>
        </w:rPr>
        <w:t xml:space="preserve"> 2013; </w:t>
      </w:r>
      <w:r w:rsidRPr="00083C7E">
        <w:rPr>
          <w:rFonts w:ascii="Arial" w:hAnsi="Arial" w:cs="Arial"/>
          <w:b/>
          <w:noProof/>
          <w:sz w:val="22"/>
          <w:szCs w:val="22"/>
        </w:rPr>
        <w:t>8</w:t>
      </w:r>
      <w:r w:rsidRPr="00083C7E">
        <w:rPr>
          <w:rFonts w:ascii="Arial" w:hAnsi="Arial" w:cs="Arial"/>
          <w:noProof/>
          <w:sz w:val="22"/>
          <w:szCs w:val="22"/>
        </w:rPr>
        <w:t>(10): e76318.</w:t>
      </w:r>
      <w:bookmarkEnd w:id="8"/>
    </w:p>
    <w:p w:rsidR="00AD621C" w:rsidRPr="00083C7E" w:rsidRDefault="00AD621C" w:rsidP="00A04ED5">
      <w:pPr>
        <w:spacing w:after="0" w:line="480" w:lineRule="auto"/>
        <w:rPr>
          <w:rFonts w:ascii="Arial" w:hAnsi="Arial" w:cs="Arial"/>
          <w:noProof/>
          <w:sz w:val="22"/>
          <w:szCs w:val="22"/>
        </w:rPr>
      </w:pPr>
      <w:bookmarkStart w:id="9" w:name="_ENREF_9"/>
      <w:r w:rsidRPr="00083C7E">
        <w:rPr>
          <w:rFonts w:ascii="Arial" w:hAnsi="Arial" w:cs="Arial"/>
          <w:noProof/>
          <w:sz w:val="22"/>
          <w:szCs w:val="22"/>
        </w:rPr>
        <w:t>9.</w:t>
      </w:r>
      <w:r w:rsidRPr="00083C7E">
        <w:rPr>
          <w:rFonts w:ascii="Arial" w:hAnsi="Arial" w:cs="Arial"/>
          <w:noProof/>
          <w:sz w:val="22"/>
          <w:szCs w:val="22"/>
        </w:rPr>
        <w:tab/>
        <w:t xml:space="preserve">Thompson MG, Shay DK, Zhou H, et al. Estimates of deaths associated with seasonal influenza --- United States, 1976-2007. </w:t>
      </w:r>
      <w:r w:rsidRPr="00083C7E">
        <w:rPr>
          <w:rFonts w:ascii="Arial" w:hAnsi="Arial" w:cs="Arial"/>
          <w:i/>
          <w:noProof/>
          <w:sz w:val="22"/>
          <w:szCs w:val="22"/>
        </w:rPr>
        <w:t>MMWR Morb Mortal Wkly Rep</w:t>
      </w:r>
      <w:r w:rsidRPr="00083C7E">
        <w:rPr>
          <w:rFonts w:ascii="Arial" w:hAnsi="Arial" w:cs="Arial"/>
          <w:noProof/>
          <w:sz w:val="22"/>
          <w:szCs w:val="22"/>
        </w:rPr>
        <w:t xml:space="preserve"> 2010; </w:t>
      </w:r>
      <w:r w:rsidRPr="00083C7E">
        <w:rPr>
          <w:rFonts w:ascii="Arial" w:hAnsi="Arial" w:cs="Arial"/>
          <w:b/>
          <w:noProof/>
          <w:sz w:val="22"/>
          <w:szCs w:val="22"/>
        </w:rPr>
        <w:t>59</w:t>
      </w:r>
      <w:r w:rsidRPr="00083C7E">
        <w:rPr>
          <w:rFonts w:ascii="Arial" w:hAnsi="Arial" w:cs="Arial"/>
          <w:noProof/>
          <w:sz w:val="22"/>
          <w:szCs w:val="22"/>
        </w:rPr>
        <w:t>(33): 1057-62.</w:t>
      </w:r>
      <w:bookmarkEnd w:id="9"/>
    </w:p>
    <w:p w:rsidR="00AD621C" w:rsidRPr="00083C7E" w:rsidRDefault="00AD621C" w:rsidP="00A04ED5">
      <w:pPr>
        <w:spacing w:after="0" w:line="480" w:lineRule="auto"/>
        <w:rPr>
          <w:rFonts w:ascii="Arial" w:hAnsi="Arial" w:cs="Arial"/>
          <w:noProof/>
          <w:sz w:val="22"/>
          <w:szCs w:val="22"/>
        </w:rPr>
      </w:pPr>
      <w:bookmarkStart w:id="10" w:name="_ENREF_10"/>
      <w:r w:rsidRPr="00083C7E">
        <w:rPr>
          <w:rFonts w:ascii="Arial" w:hAnsi="Arial" w:cs="Arial"/>
          <w:noProof/>
          <w:sz w:val="22"/>
          <w:szCs w:val="22"/>
        </w:rPr>
        <w:t>10.</w:t>
      </w:r>
      <w:r w:rsidRPr="00083C7E">
        <w:rPr>
          <w:rFonts w:ascii="Arial" w:hAnsi="Arial" w:cs="Arial"/>
          <w:noProof/>
          <w:sz w:val="22"/>
          <w:szCs w:val="22"/>
        </w:rPr>
        <w:tab/>
        <w:t xml:space="preserve">Ferdinands JM, Gargiullo P, Haber M, Moore M, Belongia EA, Shay DK. Inactivated influenza vaccines for prevention of community-acquired pneumonia: the limits of using nonspecific outcomes in vaccine effectiveness studies. </w:t>
      </w:r>
      <w:r w:rsidRPr="00083C7E">
        <w:rPr>
          <w:rFonts w:ascii="Arial" w:hAnsi="Arial" w:cs="Arial"/>
          <w:i/>
          <w:noProof/>
          <w:sz w:val="22"/>
          <w:szCs w:val="22"/>
        </w:rPr>
        <w:t>Epidemiology (Cambridge, Mass)</w:t>
      </w:r>
      <w:r w:rsidRPr="00083C7E">
        <w:rPr>
          <w:rFonts w:ascii="Arial" w:hAnsi="Arial" w:cs="Arial"/>
          <w:noProof/>
          <w:sz w:val="22"/>
          <w:szCs w:val="22"/>
        </w:rPr>
        <w:t xml:space="preserve"> 2013; </w:t>
      </w:r>
      <w:r w:rsidRPr="00083C7E">
        <w:rPr>
          <w:rFonts w:ascii="Arial" w:hAnsi="Arial" w:cs="Arial"/>
          <w:b/>
          <w:noProof/>
          <w:sz w:val="22"/>
          <w:szCs w:val="22"/>
        </w:rPr>
        <w:t>24</w:t>
      </w:r>
      <w:r w:rsidRPr="00083C7E">
        <w:rPr>
          <w:rFonts w:ascii="Arial" w:hAnsi="Arial" w:cs="Arial"/>
          <w:noProof/>
          <w:sz w:val="22"/>
          <w:szCs w:val="22"/>
        </w:rPr>
        <w:t>(4): 530-7.</w:t>
      </w:r>
      <w:bookmarkEnd w:id="10"/>
    </w:p>
    <w:p w:rsidR="00AD621C" w:rsidRPr="00083C7E" w:rsidRDefault="00AD621C" w:rsidP="00A04ED5">
      <w:pPr>
        <w:spacing w:after="0" w:line="480" w:lineRule="auto"/>
        <w:rPr>
          <w:rFonts w:ascii="Arial" w:hAnsi="Arial" w:cs="Arial"/>
          <w:noProof/>
          <w:sz w:val="22"/>
          <w:szCs w:val="22"/>
        </w:rPr>
      </w:pPr>
      <w:bookmarkStart w:id="11" w:name="_ENREF_11"/>
      <w:r w:rsidRPr="00083C7E">
        <w:rPr>
          <w:rFonts w:ascii="Arial" w:hAnsi="Arial" w:cs="Arial"/>
          <w:noProof/>
          <w:sz w:val="22"/>
          <w:szCs w:val="22"/>
        </w:rPr>
        <w:t>11.</w:t>
      </w:r>
      <w:r w:rsidRPr="00083C7E">
        <w:rPr>
          <w:rFonts w:ascii="Arial" w:hAnsi="Arial" w:cs="Arial"/>
          <w:noProof/>
          <w:sz w:val="22"/>
          <w:szCs w:val="22"/>
        </w:rPr>
        <w:tab/>
        <w:t xml:space="preserve">Jackson LA, Jackson ML, Nelson JC, Neuzil KM, Weiss NS. Evidence of bias in estimates of influenza vaccine effectiveness in seniors. </w:t>
      </w:r>
      <w:r w:rsidRPr="00083C7E">
        <w:rPr>
          <w:rFonts w:ascii="Arial" w:hAnsi="Arial" w:cs="Arial"/>
          <w:i/>
          <w:noProof/>
          <w:sz w:val="22"/>
          <w:szCs w:val="22"/>
        </w:rPr>
        <w:t>Int J Epidemiol</w:t>
      </w:r>
      <w:r w:rsidRPr="00083C7E">
        <w:rPr>
          <w:rFonts w:ascii="Arial" w:hAnsi="Arial" w:cs="Arial"/>
          <w:noProof/>
          <w:sz w:val="22"/>
          <w:szCs w:val="22"/>
        </w:rPr>
        <w:t xml:space="preserve"> 2006; </w:t>
      </w:r>
      <w:r w:rsidRPr="00083C7E">
        <w:rPr>
          <w:rFonts w:ascii="Arial" w:hAnsi="Arial" w:cs="Arial"/>
          <w:b/>
          <w:noProof/>
          <w:sz w:val="22"/>
          <w:szCs w:val="22"/>
        </w:rPr>
        <w:t>35</w:t>
      </w:r>
      <w:r w:rsidRPr="00083C7E">
        <w:rPr>
          <w:rFonts w:ascii="Arial" w:hAnsi="Arial" w:cs="Arial"/>
          <w:noProof/>
          <w:sz w:val="22"/>
          <w:szCs w:val="22"/>
        </w:rPr>
        <w:t>(2): 337-44.</w:t>
      </w:r>
      <w:bookmarkEnd w:id="11"/>
    </w:p>
    <w:p w:rsidR="00AD621C" w:rsidRPr="00083C7E" w:rsidRDefault="00AD621C" w:rsidP="00A04ED5">
      <w:pPr>
        <w:spacing w:after="0" w:line="480" w:lineRule="auto"/>
        <w:rPr>
          <w:rFonts w:ascii="Arial" w:hAnsi="Arial" w:cs="Arial"/>
          <w:noProof/>
          <w:sz w:val="22"/>
          <w:szCs w:val="22"/>
        </w:rPr>
      </w:pPr>
      <w:bookmarkStart w:id="12" w:name="_ENREF_12"/>
      <w:r w:rsidRPr="00083C7E">
        <w:rPr>
          <w:rFonts w:ascii="Arial" w:hAnsi="Arial" w:cs="Arial"/>
          <w:noProof/>
          <w:sz w:val="22"/>
          <w:szCs w:val="22"/>
        </w:rPr>
        <w:t>12.</w:t>
      </w:r>
      <w:r w:rsidRPr="00083C7E">
        <w:rPr>
          <w:rFonts w:ascii="Arial" w:hAnsi="Arial" w:cs="Arial"/>
          <w:noProof/>
          <w:sz w:val="22"/>
          <w:szCs w:val="22"/>
        </w:rPr>
        <w:tab/>
        <w:t xml:space="preserve">Jackson ML, Yu O, Nelson JC, et al. Further evidence for bias in observational studies of influenza vaccine effectiveness: the 2009 influenza A(H1N1) pandemic. </w:t>
      </w:r>
      <w:r w:rsidRPr="00083C7E">
        <w:rPr>
          <w:rFonts w:ascii="Arial" w:hAnsi="Arial" w:cs="Arial"/>
          <w:i/>
          <w:noProof/>
          <w:sz w:val="22"/>
          <w:szCs w:val="22"/>
        </w:rPr>
        <w:t>Am J Epidemiol</w:t>
      </w:r>
      <w:r w:rsidRPr="00083C7E">
        <w:rPr>
          <w:rFonts w:ascii="Arial" w:hAnsi="Arial" w:cs="Arial"/>
          <w:noProof/>
          <w:sz w:val="22"/>
          <w:szCs w:val="22"/>
        </w:rPr>
        <w:t xml:space="preserve"> 2013; </w:t>
      </w:r>
      <w:r w:rsidRPr="00083C7E">
        <w:rPr>
          <w:rFonts w:ascii="Arial" w:hAnsi="Arial" w:cs="Arial"/>
          <w:b/>
          <w:noProof/>
          <w:sz w:val="22"/>
          <w:szCs w:val="22"/>
        </w:rPr>
        <w:t>178</w:t>
      </w:r>
      <w:r w:rsidRPr="00083C7E">
        <w:rPr>
          <w:rFonts w:ascii="Arial" w:hAnsi="Arial" w:cs="Arial"/>
          <w:noProof/>
          <w:sz w:val="22"/>
          <w:szCs w:val="22"/>
        </w:rPr>
        <w:t>(8): 1327-36.</w:t>
      </w:r>
      <w:bookmarkEnd w:id="12"/>
    </w:p>
    <w:p w:rsidR="00AD621C" w:rsidRPr="00083C7E" w:rsidRDefault="00AD621C" w:rsidP="00A04ED5">
      <w:pPr>
        <w:spacing w:after="0" w:line="480" w:lineRule="auto"/>
        <w:rPr>
          <w:rFonts w:ascii="Arial" w:hAnsi="Arial" w:cs="Arial"/>
          <w:noProof/>
          <w:sz w:val="22"/>
          <w:szCs w:val="22"/>
        </w:rPr>
      </w:pPr>
      <w:bookmarkStart w:id="13" w:name="_ENREF_13"/>
      <w:r w:rsidRPr="00083C7E">
        <w:rPr>
          <w:rFonts w:ascii="Arial" w:hAnsi="Arial" w:cs="Arial"/>
          <w:noProof/>
          <w:sz w:val="22"/>
          <w:szCs w:val="22"/>
        </w:rPr>
        <w:t>13.</w:t>
      </w:r>
      <w:r w:rsidRPr="00083C7E">
        <w:rPr>
          <w:rFonts w:ascii="Arial" w:hAnsi="Arial" w:cs="Arial"/>
          <w:noProof/>
          <w:sz w:val="22"/>
          <w:szCs w:val="22"/>
        </w:rPr>
        <w:tab/>
        <w:t xml:space="preserve">Nelson JC, Jackson ML, Weiss NS, Jackson LA. New strategies are needed to improve the accuracy of influenza vaccine effectiveness estimates among seniors. </w:t>
      </w:r>
      <w:r w:rsidRPr="00083C7E">
        <w:rPr>
          <w:rFonts w:ascii="Arial" w:hAnsi="Arial" w:cs="Arial"/>
          <w:i/>
          <w:noProof/>
          <w:sz w:val="22"/>
          <w:szCs w:val="22"/>
        </w:rPr>
        <w:t>Journal of clinical epidemiology</w:t>
      </w:r>
      <w:r w:rsidRPr="00083C7E">
        <w:rPr>
          <w:rFonts w:ascii="Arial" w:hAnsi="Arial" w:cs="Arial"/>
          <w:noProof/>
          <w:sz w:val="22"/>
          <w:szCs w:val="22"/>
        </w:rPr>
        <w:t xml:space="preserve"> 2009; </w:t>
      </w:r>
      <w:r w:rsidRPr="00083C7E">
        <w:rPr>
          <w:rFonts w:ascii="Arial" w:hAnsi="Arial" w:cs="Arial"/>
          <w:b/>
          <w:noProof/>
          <w:sz w:val="22"/>
          <w:szCs w:val="22"/>
        </w:rPr>
        <w:t>62</w:t>
      </w:r>
      <w:r w:rsidRPr="00083C7E">
        <w:rPr>
          <w:rFonts w:ascii="Arial" w:hAnsi="Arial" w:cs="Arial"/>
          <w:noProof/>
          <w:sz w:val="22"/>
          <w:szCs w:val="22"/>
        </w:rPr>
        <w:t>(7): 687-94.</w:t>
      </w:r>
      <w:bookmarkEnd w:id="13"/>
    </w:p>
    <w:p w:rsidR="00AD621C" w:rsidRPr="00083C7E" w:rsidRDefault="00AD621C" w:rsidP="00A04ED5">
      <w:pPr>
        <w:spacing w:after="0" w:line="480" w:lineRule="auto"/>
        <w:rPr>
          <w:rFonts w:ascii="Arial" w:hAnsi="Arial" w:cs="Arial"/>
          <w:noProof/>
          <w:sz w:val="22"/>
          <w:szCs w:val="22"/>
        </w:rPr>
      </w:pPr>
      <w:bookmarkStart w:id="14" w:name="_ENREF_14"/>
      <w:r w:rsidRPr="00083C7E">
        <w:rPr>
          <w:rFonts w:ascii="Arial" w:hAnsi="Arial" w:cs="Arial"/>
          <w:noProof/>
          <w:sz w:val="22"/>
          <w:szCs w:val="22"/>
        </w:rPr>
        <w:t>14.</w:t>
      </w:r>
      <w:r w:rsidRPr="00083C7E">
        <w:rPr>
          <w:rFonts w:ascii="Arial" w:hAnsi="Arial" w:cs="Arial"/>
          <w:noProof/>
          <w:sz w:val="22"/>
          <w:szCs w:val="22"/>
        </w:rPr>
        <w:tab/>
        <w:t xml:space="preserve">Nelson JC, Marsh T, Lumley T, et al. Validation sampling can reduce bias in health care database studies: an illustration using influenza vaccination effectiveness. </w:t>
      </w:r>
      <w:r w:rsidRPr="00083C7E">
        <w:rPr>
          <w:rFonts w:ascii="Arial" w:hAnsi="Arial" w:cs="Arial"/>
          <w:i/>
          <w:noProof/>
          <w:sz w:val="22"/>
          <w:szCs w:val="22"/>
        </w:rPr>
        <w:t>Journal of clinical epidemiology</w:t>
      </w:r>
      <w:r w:rsidRPr="00083C7E">
        <w:rPr>
          <w:rFonts w:ascii="Arial" w:hAnsi="Arial" w:cs="Arial"/>
          <w:noProof/>
          <w:sz w:val="22"/>
          <w:szCs w:val="22"/>
        </w:rPr>
        <w:t xml:space="preserve"> 2013; </w:t>
      </w:r>
      <w:r w:rsidRPr="00083C7E">
        <w:rPr>
          <w:rFonts w:ascii="Arial" w:hAnsi="Arial" w:cs="Arial"/>
          <w:b/>
          <w:noProof/>
          <w:sz w:val="22"/>
          <w:szCs w:val="22"/>
        </w:rPr>
        <w:t>66</w:t>
      </w:r>
      <w:r w:rsidRPr="00083C7E">
        <w:rPr>
          <w:rFonts w:ascii="Arial" w:hAnsi="Arial" w:cs="Arial"/>
          <w:noProof/>
          <w:sz w:val="22"/>
          <w:szCs w:val="22"/>
        </w:rPr>
        <w:t>(8 Suppl): S110-21.</w:t>
      </w:r>
      <w:bookmarkEnd w:id="14"/>
    </w:p>
    <w:p w:rsidR="00AD621C" w:rsidRPr="00083C7E" w:rsidRDefault="00AD621C" w:rsidP="00A04ED5">
      <w:pPr>
        <w:spacing w:after="0" w:line="480" w:lineRule="auto"/>
        <w:rPr>
          <w:rFonts w:ascii="Arial" w:hAnsi="Arial" w:cs="Arial"/>
          <w:noProof/>
          <w:sz w:val="22"/>
          <w:szCs w:val="22"/>
        </w:rPr>
      </w:pPr>
      <w:bookmarkStart w:id="15" w:name="_ENREF_15"/>
      <w:r w:rsidRPr="00083C7E">
        <w:rPr>
          <w:rFonts w:ascii="Arial" w:hAnsi="Arial" w:cs="Arial"/>
          <w:noProof/>
          <w:sz w:val="22"/>
          <w:szCs w:val="22"/>
        </w:rPr>
        <w:t>15.</w:t>
      </w:r>
      <w:r w:rsidRPr="00083C7E">
        <w:rPr>
          <w:rFonts w:ascii="Arial" w:hAnsi="Arial" w:cs="Arial"/>
          <w:noProof/>
          <w:sz w:val="22"/>
          <w:szCs w:val="22"/>
        </w:rPr>
        <w:tab/>
        <w:t xml:space="preserve">Lipsitch M, Tchetgen Tchetgen E, Cohen T. Negative controls: a tool for detecting confounding and bias in observational studies. </w:t>
      </w:r>
      <w:r w:rsidRPr="00083C7E">
        <w:rPr>
          <w:rFonts w:ascii="Arial" w:hAnsi="Arial" w:cs="Arial"/>
          <w:i/>
          <w:noProof/>
          <w:sz w:val="22"/>
          <w:szCs w:val="22"/>
        </w:rPr>
        <w:t>Epidemiology (Cambridge, Mass)</w:t>
      </w:r>
      <w:r w:rsidRPr="00083C7E">
        <w:rPr>
          <w:rFonts w:ascii="Arial" w:hAnsi="Arial" w:cs="Arial"/>
          <w:noProof/>
          <w:sz w:val="22"/>
          <w:szCs w:val="22"/>
        </w:rPr>
        <w:t xml:space="preserve"> 2010; </w:t>
      </w:r>
      <w:r w:rsidRPr="00083C7E">
        <w:rPr>
          <w:rFonts w:ascii="Arial" w:hAnsi="Arial" w:cs="Arial"/>
          <w:b/>
          <w:noProof/>
          <w:sz w:val="22"/>
          <w:szCs w:val="22"/>
        </w:rPr>
        <w:t>21</w:t>
      </w:r>
      <w:r w:rsidRPr="00083C7E">
        <w:rPr>
          <w:rFonts w:ascii="Arial" w:hAnsi="Arial" w:cs="Arial"/>
          <w:noProof/>
          <w:sz w:val="22"/>
          <w:szCs w:val="22"/>
        </w:rPr>
        <w:t>(3): 383-8.</w:t>
      </w:r>
      <w:bookmarkEnd w:id="15"/>
    </w:p>
    <w:p w:rsidR="00AD621C" w:rsidRPr="00083C7E" w:rsidRDefault="00AD621C" w:rsidP="00A04ED5">
      <w:pPr>
        <w:spacing w:after="0" w:line="480" w:lineRule="auto"/>
        <w:rPr>
          <w:rFonts w:ascii="Arial" w:hAnsi="Arial" w:cs="Arial"/>
          <w:noProof/>
          <w:sz w:val="22"/>
          <w:szCs w:val="22"/>
        </w:rPr>
      </w:pPr>
      <w:bookmarkStart w:id="16" w:name="_ENREF_16"/>
      <w:r w:rsidRPr="00083C7E">
        <w:rPr>
          <w:rFonts w:ascii="Arial" w:hAnsi="Arial" w:cs="Arial"/>
          <w:noProof/>
          <w:sz w:val="22"/>
          <w:szCs w:val="22"/>
        </w:rPr>
        <w:lastRenderedPageBreak/>
        <w:t>16.</w:t>
      </w:r>
      <w:r w:rsidRPr="00083C7E">
        <w:rPr>
          <w:rFonts w:ascii="Arial" w:hAnsi="Arial" w:cs="Arial"/>
          <w:noProof/>
          <w:sz w:val="22"/>
          <w:szCs w:val="22"/>
        </w:rPr>
        <w:tab/>
        <w:t xml:space="preserve">Tran CH, McElrath J, Hughes P, et al. Implementing a community-supported school-based influenza immunization program. </w:t>
      </w:r>
      <w:r w:rsidRPr="00083C7E">
        <w:rPr>
          <w:rFonts w:ascii="Arial" w:hAnsi="Arial" w:cs="Arial"/>
          <w:i/>
          <w:noProof/>
          <w:sz w:val="22"/>
          <w:szCs w:val="22"/>
        </w:rPr>
        <w:t>Biosecurity and bioterrorism : biodefense strategy, practice, and science</w:t>
      </w:r>
      <w:r w:rsidRPr="00083C7E">
        <w:rPr>
          <w:rFonts w:ascii="Arial" w:hAnsi="Arial" w:cs="Arial"/>
          <w:noProof/>
          <w:sz w:val="22"/>
          <w:szCs w:val="22"/>
        </w:rPr>
        <w:t xml:space="preserve"> 2010; </w:t>
      </w:r>
      <w:r w:rsidRPr="00083C7E">
        <w:rPr>
          <w:rFonts w:ascii="Arial" w:hAnsi="Arial" w:cs="Arial"/>
          <w:b/>
          <w:noProof/>
          <w:sz w:val="22"/>
          <w:szCs w:val="22"/>
        </w:rPr>
        <w:t>8</w:t>
      </w:r>
      <w:r w:rsidRPr="00083C7E">
        <w:rPr>
          <w:rFonts w:ascii="Arial" w:hAnsi="Arial" w:cs="Arial"/>
          <w:noProof/>
          <w:sz w:val="22"/>
          <w:szCs w:val="22"/>
        </w:rPr>
        <w:t>(4): 331-41.</w:t>
      </w:r>
      <w:bookmarkEnd w:id="16"/>
    </w:p>
    <w:p w:rsidR="00AD621C" w:rsidRPr="00083C7E" w:rsidRDefault="00AD621C" w:rsidP="00A04ED5">
      <w:pPr>
        <w:spacing w:after="0" w:line="480" w:lineRule="auto"/>
        <w:rPr>
          <w:rFonts w:ascii="Arial" w:hAnsi="Arial" w:cs="Arial"/>
          <w:noProof/>
          <w:sz w:val="22"/>
          <w:szCs w:val="22"/>
        </w:rPr>
      </w:pPr>
      <w:bookmarkStart w:id="17" w:name="_ENREF_17"/>
      <w:r w:rsidRPr="00083C7E">
        <w:rPr>
          <w:rFonts w:ascii="Arial" w:hAnsi="Arial" w:cs="Arial"/>
          <w:noProof/>
          <w:sz w:val="22"/>
          <w:szCs w:val="22"/>
        </w:rPr>
        <w:t>17.</w:t>
      </w:r>
      <w:r w:rsidRPr="00083C7E">
        <w:rPr>
          <w:rFonts w:ascii="Arial" w:hAnsi="Arial" w:cs="Arial"/>
          <w:noProof/>
          <w:sz w:val="22"/>
          <w:szCs w:val="22"/>
        </w:rPr>
        <w:tab/>
        <w:t xml:space="preserve"> U.S. Census Bureau, 2010 Census of Population and Housing, Demographic Profile Summary File 1. </w:t>
      </w:r>
      <w:r w:rsidRPr="00B52024">
        <w:rPr>
          <w:rFonts w:ascii="Arial" w:hAnsi="Arial" w:cs="Arial"/>
          <w:noProof/>
          <w:sz w:val="22"/>
          <w:szCs w:val="22"/>
        </w:rPr>
        <w:t>http://www2.census.gov/census_2010/04-Summary_File_1/Florida/fl2010.sf1.zip</w:t>
      </w:r>
      <w:r w:rsidRPr="00083C7E">
        <w:rPr>
          <w:rFonts w:ascii="Arial" w:hAnsi="Arial" w:cs="Arial"/>
          <w:noProof/>
          <w:sz w:val="22"/>
          <w:szCs w:val="22"/>
        </w:rPr>
        <w:t xml:space="preserve"> (Accessed September 2013).</w:t>
      </w:r>
      <w:bookmarkEnd w:id="17"/>
    </w:p>
    <w:p w:rsidR="00AD621C" w:rsidRPr="00083C7E" w:rsidRDefault="00AD621C" w:rsidP="00A04ED5">
      <w:pPr>
        <w:spacing w:after="0" w:line="480" w:lineRule="auto"/>
        <w:rPr>
          <w:rFonts w:ascii="Arial" w:hAnsi="Arial" w:cs="Arial"/>
          <w:noProof/>
          <w:sz w:val="22"/>
          <w:szCs w:val="22"/>
        </w:rPr>
      </w:pPr>
      <w:bookmarkStart w:id="18" w:name="_ENREF_18"/>
      <w:r w:rsidRPr="00083C7E">
        <w:rPr>
          <w:rFonts w:ascii="Arial" w:hAnsi="Arial" w:cs="Arial"/>
          <w:noProof/>
          <w:sz w:val="22"/>
          <w:szCs w:val="22"/>
        </w:rPr>
        <w:t>18.</w:t>
      </w:r>
      <w:r w:rsidRPr="00083C7E">
        <w:rPr>
          <w:rFonts w:ascii="Arial" w:hAnsi="Arial" w:cs="Arial"/>
          <w:noProof/>
          <w:sz w:val="22"/>
          <w:szCs w:val="22"/>
        </w:rPr>
        <w:tab/>
        <w:t>Halloran ME, Longini IM, Jr., Struchiner CJ. Design and Analysis of Vaccine Studies. 1 ed. New York: Springer; 2010.</w:t>
      </w:r>
      <w:bookmarkEnd w:id="18"/>
    </w:p>
    <w:p w:rsidR="00AD621C" w:rsidRPr="00083C7E" w:rsidRDefault="00AD621C" w:rsidP="00A04ED5">
      <w:pPr>
        <w:spacing w:line="480" w:lineRule="auto"/>
        <w:rPr>
          <w:rFonts w:ascii="Arial" w:hAnsi="Arial" w:cs="Arial"/>
          <w:noProof/>
          <w:sz w:val="22"/>
          <w:szCs w:val="22"/>
        </w:rPr>
      </w:pPr>
      <w:bookmarkStart w:id="19" w:name="_ENREF_19"/>
      <w:r w:rsidRPr="00083C7E">
        <w:rPr>
          <w:rFonts w:ascii="Arial" w:hAnsi="Arial" w:cs="Arial"/>
          <w:noProof/>
          <w:sz w:val="22"/>
          <w:szCs w:val="22"/>
        </w:rPr>
        <w:t>19.</w:t>
      </w:r>
      <w:r w:rsidRPr="00083C7E">
        <w:rPr>
          <w:rFonts w:ascii="Arial" w:hAnsi="Arial" w:cs="Arial"/>
          <w:noProof/>
          <w:sz w:val="22"/>
          <w:szCs w:val="22"/>
        </w:rPr>
        <w:tab/>
        <w:t>Efron B, Tibshirani RJ. An Introduction to the Bootstrap. Boca Raton, Florida: Chapman &amp; Hall/CRC; 1994.</w:t>
      </w:r>
      <w:bookmarkEnd w:id="19"/>
    </w:p>
    <w:p w:rsidR="00AD621C" w:rsidRPr="00083C7E" w:rsidRDefault="00AD621C" w:rsidP="00A04ED5">
      <w:pPr>
        <w:spacing w:line="480" w:lineRule="auto"/>
        <w:rPr>
          <w:rFonts w:ascii="Arial" w:hAnsi="Arial" w:cs="Arial"/>
          <w:noProof/>
          <w:sz w:val="22"/>
          <w:szCs w:val="22"/>
        </w:rPr>
      </w:pPr>
    </w:p>
    <w:p w:rsidR="0067355B" w:rsidRDefault="0067355B" w:rsidP="00A04ED5">
      <w:pPr>
        <w:spacing w:after="0" w:line="480" w:lineRule="auto"/>
        <w:rPr>
          <w:rFonts w:ascii="Arial" w:hAnsi="Arial" w:cs="Arial"/>
          <w:sz w:val="22"/>
          <w:szCs w:val="22"/>
        </w:rPr>
      </w:pPr>
    </w:p>
    <w:p w:rsidR="0067355B" w:rsidRDefault="0067355B" w:rsidP="00A04ED5">
      <w:pPr>
        <w:spacing w:after="0" w:line="480" w:lineRule="auto"/>
        <w:rPr>
          <w:rFonts w:ascii="Arial" w:hAnsi="Arial" w:cs="Arial"/>
          <w:sz w:val="22"/>
          <w:szCs w:val="22"/>
        </w:rPr>
      </w:pPr>
    </w:p>
    <w:p w:rsidR="0067355B" w:rsidRDefault="0067355B" w:rsidP="00A04ED5">
      <w:pPr>
        <w:spacing w:after="0" w:line="480" w:lineRule="auto"/>
        <w:rPr>
          <w:rFonts w:ascii="Arial" w:hAnsi="Arial" w:cs="Arial"/>
          <w:sz w:val="22"/>
          <w:szCs w:val="22"/>
        </w:rPr>
      </w:pPr>
    </w:p>
    <w:p w:rsidR="0067355B" w:rsidRDefault="0067355B" w:rsidP="00A04ED5">
      <w:pPr>
        <w:spacing w:after="0" w:line="480" w:lineRule="auto"/>
        <w:rPr>
          <w:rFonts w:ascii="Arial" w:hAnsi="Arial" w:cs="Arial"/>
          <w:sz w:val="22"/>
          <w:szCs w:val="22"/>
        </w:rPr>
      </w:pPr>
    </w:p>
    <w:p w:rsidR="0067355B" w:rsidRDefault="0067355B" w:rsidP="00A04ED5">
      <w:pPr>
        <w:spacing w:after="0" w:line="480" w:lineRule="auto"/>
        <w:rPr>
          <w:rFonts w:ascii="Arial" w:hAnsi="Arial" w:cs="Arial"/>
          <w:sz w:val="22"/>
          <w:szCs w:val="22"/>
        </w:rPr>
      </w:pPr>
    </w:p>
    <w:p w:rsidR="00274FEE" w:rsidRDefault="00274FEE" w:rsidP="00A04ED5">
      <w:pPr>
        <w:spacing w:after="0" w:line="480" w:lineRule="auto"/>
        <w:rPr>
          <w:rFonts w:ascii="Arial" w:hAnsi="Arial" w:cs="Arial"/>
          <w:sz w:val="22"/>
          <w:szCs w:val="22"/>
        </w:rPr>
      </w:pPr>
    </w:p>
    <w:p w:rsidR="00274FEE" w:rsidRDefault="00274FEE" w:rsidP="00A04ED5">
      <w:pPr>
        <w:spacing w:after="0" w:line="480" w:lineRule="auto"/>
        <w:rPr>
          <w:rFonts w:ascii="Arial" w:hAnsi="Arial" w:cs="Arial"/>
          <w:sz w:val="22"/>
          <w:szCs w:val="22"/>
        </w:rPr>
      </w:pPr>
    </w:p>
    <w:p w:rsidR="00274FEE" w:rsidRDefault="00274FEE" w:rsidP="00A04ED5">
      <w:pPr>
        <w:spacing w:after="0" w:line="480" w:lineRule="auto"/>
        <w:rPr>
          <w:rFonts w:ascii="Arial" w:hAnsi="Arial" w:cs="Arial"/>
          <w:sz w:val="22"/>
          <w:szCs w:val="22"/>
        </w:rPr>
      </w:pPr>
    </w:p>
    <w:p w:rsidR="002C43E4" w:rsidRDefault="002C43E4" w:rsidP="009670F1">
      <w:pPr>
        <w:spacing w:after="0" w:line="480" w:lineRule="auto"/>
        <w:rPr>
          <w:rFonts w:ascii="Arial" w:hAnsi="Arial" w:cs="Arial"/>
          <w:b/>
          <w:sz w:val="22"/>
          <w:szCs w:val="22"/>
        </w:rPr>
      </w:pPr>
    </w:p>
    <w:p w:rsidR="002C43E4" w:rsidRDefault="002C43E4" w:rsidP="009670F1">
      <w:pPr>
        <w:spacing w:after="0" w:line="480" w:lineRule="auto"/>
        <w:rPr>
          <w:rFonts w:ascii="Arial" w:hAnsi="Arial" w:cs="Arial"/>
          <w:b/>
          <w:sz w:val="22"/>
          <w:szCs w:val="22"/>
        </w:rPr>
      </w:pPr>
    </w:p>
    <w:sectPr w:rsidR="002C43E4" w:rsidSect="002C43E4">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5A4" w:rsidRDefault="004335A4">
      <w:r>
        <w:separator/>
      </w:r>
    </w:p>
  </w:endnote>
  <w:endnote w:type="continuationSeparator" w:id="0">
    <w:p w:rsidR="004335A4" w:rsidRDefault="0043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424312"/>
      <w:docPartObj>
        <w:docPartGallery w:val="Page Numbers (Bottom of Page)"/>
        <w:docPartUnique/>
      </w:docPartObj>
    </w:sdtPr>
    <w:sdtEndPr/>
    <w:sdtContent>
      <w:sdt>
        <w:sdtPr>
          <w:id w:val="-1769616900"/>
          <w:docPartObj>
            <w:docPartGallery w:val="Page Numbers (Top of Page)"/>
            <w:docPartUnique/>
          </w:docPartObj>
        </w:sdtPr>
        <w:sdtEndPr/>
        <w:sdtContent>
          <w:p w:rsidR="00A728A1" w:rsidRDefault="00A728A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2316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316F">
              <w:rPr>
                <w:b/>
                <w:bCs/>
                <w:noProof/>
              </w:rPr>
              <w:t>12</w:t>
            </w:r>
            <w:r>
              <w:rPr>
                <w:b/>
                <w:bCs/>
                <w:sz w:val="24"/>
                <w:szCs w:val="24"/>
              </w:rPr>
              <w:fldChar w:fldCharType="end"/>
            </w:r>
          </w:p>
        </w:sdtContent>
      </w:sdt>
    </w:sdtContent>
  </w:sdt>
  <w:p w:rsidR="005E4EA5" w:rsidRDefault="005E4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5A4" w:rsidRDefault="004335A4">
      <w:r>
        <w:separator/>
      </w:r>
    </w:p>
  </w:footnote>
  <w:footnote w:type="continuationSeparator" w:id="0">
    <w:p w:rsidR="004335A4" w:rsidRDefault="004335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3544C53C"/>
    <w:lvl w:ilvl="0">
      <w:start w:val="1"/>
      <w:numFmt w:val="decimal"/>
      <w:lvlText w:val="%1."/>
      <w:lvlJc w:val="left"/>
      <w:pPr>
        <w:tabs>
          <w:tab w:val="num" w:pos="720"/>
        </w:tabs>
        <w:ind w:left="720" w:hanging="360"/>
      </w:pPr>
    </w:lvl>
  </w:abstractNum>
  <w:abstractNum w:abstractNumId="1">
    <w:nsid w:val="FFFFFF83"/>
    <w:multiLevelType w:val="singleLevel"/>
    <w:tmpl w:val="437C684A"/>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0A92FC36"/>
    <w:lvl w:ilvl="0">
      <w:start w:val="1"/>
      <w:numFmt w:val="decimal"/>
      <w:pStyle w:val="ListNumber"/>
      <w:lvlText w:val="%1."/>
      <w:lvlJc w:val="left"/>
      <w:pPr>
        <w:tabs>
          <w:tab w:val="num" w:pos="360"/>
        </w:tabs>
        <w:ind w:left="360" w:hanging="360"/>
      </w:pPr>
    </w:lvl>
  </w:abstractNum>
  <w:abstractNum w:abstractNumId="3">
    <w:nsid w:val="FFFFFF89"/>
    <w:multiLevelType w:val="singleLevel"/>
    <w:tmpl w:val="73AE5B16"/>
    <w:lvl w:ilvl="0">
      <w:start w:val="1"/>
      <w:numFmt w:val="bullet"/>
      <w:lvlText w:val=""/>
      <w:lvlJc w:val="left"/>
      <w:pPr>
        <w:tabs>
          <w:tab w:val="num" w:pos="360"/>
        </w:tabs>
        <w:ind w:left="360" w:hanging="360"/>
      </w:pPr>
      <w:rPr>
        <w:rFonts w:ascii="Symbol" w:hAnsi="Symbol" w:hint="default"/>
      </w:rPr>
    </w:lvl>
  </w:abstractNum>
  <w:abstractNum w:abstractNumId="4">
    <w:nsid w:val="02133F87"/>
    <w:multiLevelType w:val="hybridMultilevel"/>
    <w:tmpl w:val="F22625BC"/>
    <w:lvl w:ilvl="0" w:tplc="6B08908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F5B5136"/>
    <w:multiLevelType w:val="hybridMultilevel"/>
    <w:tmpl w:val="9048C81C"/>
    <w:lvl w:ilvl="0" w:tplc="5FCEECD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F0042F"/>
    <w:multiLevelType w:val="hybridMultilevel"/>
    <w:tmpl w:val="568A7018"/>
    <w:lvl w:ilvl="0" w:tplc="5FCEECD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AB18B2"/>
    <w:multiLevelType w:val="singleLevel"/>
    <w:tmpl w:val="44668E14"/>
    <w:lvl w:ilvl="0">
      <w:start w:val="1"/>
      <w:numFmt w:val="bullet"/>
      <w:pStyle w:val="ListBullet2"/>
      <w:lvlText w:val="-"/>
      <w:lvlJc w:val="left"/>
      <w:pPr>
        <w:tabs>
          <w:tab w:val="num" w:pos="360"/>
        </w:tabs>
        <w:ind w:left="360" w:hanging="360"/>
      </w:pPr>
      <w:rPr>
        <w:rFonts w:ascii="Times New Roman" w:hAnsi="Times New Roman" w:hint="default"/>
      </w:rPr>
    </w:lvl>
  </w:abstractNum>
  <w:abstractNum w:abstractNumId="8">
    <w:nsid w:val="35DD1B02"/>
    <w:multiLevelType w:val="singleLevel"/>
    <w:tmpl w:val="D8B8841A"/>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49300743"/>
    <w:multiLevelType w:val="hybridMultilevel"/>
    <w:tmpl w:val="9EC68ACC"/>
    <w:lvl w:ilvl="0" w:tplc="5FCEECD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125F52"/>
    <w:multiLevelType w:val="hybridMultilevel"/>
    <w:tmpl w:val="37F4F354"/>
    <w:lvl w:ilvl="0" w:tplc="D14282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6333AE"/>
    <w:multiLevelType w:val="hybridMultilevel"/>
    <w:tmpl w:val="ACDC1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883200"/>
    <w:multiLevelType w:val="singleLevel"/>
    <w:tmpl w:val="0720A3A2"/>
    <w:lvl w:ilvl="0">
      <w:start w:val="1"/>
      <w:numFmt w:val="decimal"/>
      <w:pStyle w:val="ListNumber2"/>
      <w:lvlText w:val="%1."/>
      <w:lvlJc w:val="left"/>
      <w:pPr>
        <w:tabs>
          <w:tab w:val="num" w:pos="360"/>
        </w:tabs>
        <w:ind w:left="360" w:hanging="360"/>
      </w:pPr>
    </w:lvl>
  </w:abstractNum>
  <w:abstractNum w:abstractNumId="13">
    <w:nsid w:val="6E285623"/>
    <w:multiLevelType w:val="hybridMultilevel"/>
    <w:tmpl w:val="736A387E"/>
    <w:lvl w:ilvl="0" w:tplc="5FCEECD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7"/>
  </w:num>
  <w:num w:numId="5">
    <w:abstractNumId w:val="2"/>
  </w:num>
  <w:num w:numId="6">
    <w:abstractNumId w:val="2"/>
  </w:num>
  <w:num w:numId="7">
    <w:abstractNumId w:val="0"/>
  </w:num>
  <w:num w:numId="8">
    <w:abstractNumId w:val="12"/>
    <w:lvlOverride w:ilvl="0">
      <w:startOverride w:val="1"/>
    </w:lvlOverride>
  </w:num>
  <w:num w:numId="9">
    <w:abstractNumId w:val="10"/>
  </w:num>
  <w:num w:numId="10">
    <w:abstractNumId w:val="4"/>
  </w:num>
  <w:num w:numId="11">
    <w:abstractNumId w:val="11"/>
  </w:num>
  <w:num w:numId="12">
    <w:abstractNumId w:val="9"/>
  </w:num>
  <w:num w:numId="13">
    <w:abstractNumId w:val="5"/>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r5tsapzf9sszrerzxjvrtp3apswxtved5fs&quot;&gt;Cuc EndNote Library&lt;record-ids&gt;&lt;item&gt;73&lt;/item&gt;&lt;item&gt;105&lt;/item&gt;&lt;item&gt;146&lt;/item&gt;&lt;item&gt;161&lt;/item&gt;&lt;item&gt;279&lt;/item&gt;&lt;item&gt;308&lt;/item&gt;&lt;item&gt;310&lt;/item&gt;&lt;item&gt;311&lt;/item&gt;&lt;item&gt;313&lt;/item&gt;&lt;item&gt;314&lt;/item&gt;&lt;item&gt;315&lt;/item&gt;&lt;item&gt;317&lt;/item&gt;&lt;item&gt;318&lt;/item&gt;&lt;item&gt;319&lt;/item&gt;&lt;item&gt;320&lt;/item&gt;&lt;item&gt;321&lt;/item&gt;&lt;item&gt;322&lt;/item&gt;&lt;item&gt;324&lt;/item&gt;&lt;item&gt;325&lt;/item&gt;&lt;/record-ids&gt;&lt;/item&gt;&lt;/Libraries&gt;"/>
  </w:docVars>
  <w:rsids>
    <w:rsidRoot w:val="00C94A5B"/>
    <w:rsid w:val="00002254"/>
    <w:rsid w:val="000030F5"/>
    <w:rsid w:val="00005134"/>
    <w:rsid w:val="0000610C"/>
    <w:rsid w:val="00010706"/>
    <w:rsid w:val="00010BBA"/>
    <w:rsid w:val="000112DB"/>
    <w:rsid w:val="00014CF9"/>
    <w:rsid w:val="00017824"/>
    <w:rsid w:val="00024CC9"/>
    <w:rsid w:val="000253DE"/>
    <w:rsid w:val="0002562C"/>
    <w:rsid w:val="00025EB3"/>
    <w:rsid w:val="000277E3"/>
    <w:rsid w:val="000357E4"/>
    <w:rsid w:val="0004131A"/>
    <w:rsid w:val="00044E5E"/>
    <w:rsid w:val="00046612"/>
    <w:rsid w:val="00051F22"/>
    <w:rsid w:val="0005352E"/>
    <w:rsid w:val="00061D40"/>
    <w:rsid w:val="00064E70"/>
    <w:rsid w:val="000653CC"/>
    <w:rsid w:val="00072493"/>
    <w:rsid w:val="00074EAD"/>
    <w:rsid w:val="0007594F"/>
    <w:rsid w:val="000761CB"/>
    <w:rsid w:val="0007774B"/>
    <w:rsid w:val="00080819"/>
    <w:rsid w:val="000826F4"/>
    <w:rsid w:val="00083C7E"/>
    <w:rsid w:val="000911CB"/>
    <w:rsid w:val="000933DE"/>
    <w:rsid w:val="000940CE"/>
    <w:rsid w:val="000A0C6C"/>
    <w:rsid w:val="000A1458"/>
    <w:rsid w:val="000A485C"/>
    <w:rsid w:val="000B0F75"/>
    <w:rsid w:val="000B2CA4"/>
    <w:rsid w:val="000B607A"/>
    <w:rsid w:val="000B69FA"/>
    <w:rsid w:val="000B6DB9"/>
    <w:rsid w:val="000B6DC4"/>
    <w:rsid w:val="000C4366"/>
    <w:rsid w:val="000C4494"/>
    <w:rsid w:val="000E4D5C"/>
    <w:rsid w:val="000F2277"/>
    <w:rsid w:val="000F22CA"/>
    <w:rsid w:val="000F4944"/>
    <w:rsid w:val="000F517E"/>
    <w:rsid w:val="000F7D46"/>
    <w:rsid w:val="0010601B"/>
    <w:rsid w:val="0011405C"/>
    <w:rsid w:val="00116111"/>
    <w:rsid w:val="0012270F"/>
    <w:rsid w:val="00123622"/>
    <w:rsid w:val="00123867"/>
    <w:rsid w:val="0012532C"/>
    <w:rsid w:val="001279B0"/>
    <w:rsid w:val="00131924"/>
    <w:rsid w:val="00132FEE"/>
    <w:rsid w:val="00133B93"/>
    <w:rsid w:val="00136AF4"/>
    <w:rsid w:val="00136CBE"/>
    <w:rsid w:val="00142019"/>
    <w:rsid w:val="00145C73"/>
    <w:rsid w:val="00151B69"/>
    <w:rsid w:val="00154D96"/>
    <w:rsid w:val="00156A68"/>
    <w:rsid w:val="00156A88"/>
    <w:rsid w:val="0016717A"/>
    <w:rsid w:val="00167180"/>
    <w:rsid w:val="00167D1A"/>
    <w:rsid w:val="00170E39"/>
    <w:rsid w:val="00172CC3"/>
    <w:rsid w:val="00173059"/>
    <w:rsid w:val="001753D9"/>
    <w:rsid w:val="00177591"/>
    <w:rsid w:val="0018266A"/>
    <w:rsid w:val="0018401D"/>
    <w:rsid w:val="00192A49"/>
    <w:rsid w:val="00196859"/>
    <w:rsid w:val="001A74EA"/>
    <w:rsid w:val="001B1559"/>
    <w:rsid w:val="001B1FDE"/>
    <w:rsid w:val="001B39C9"/>
    <w:rsid w:val="001B59EB"/>
    <w:rsid w:val="001C0D1D"/>
    <w:rsid w:val="001C0FDD"/>
    <w:rsid w:val="001D1625"/>
    <w:rsid w:val="001D372A"/>
    <w:rsid w:val="001D449A"/>
    <w:rsid w:val="001D7DF2"/>
    <w:rsid w:val="001E2A98"/>
    <w:rsid w:val="001E6D17"/>
    <w:rsid w:val="001F5FBF"/>
    <w:rsid w:val="00202675"/>
    <w:rsid w:val="00203335"/>
    <w:rsid w:val="00203C4A"/>
    <w:rsid w:val="002110DB"/>
    <w:rsid w:val="00214972"/>
    <w:rsid w:val="00220149"/>
    <w:rsid w:val="002208DB"/>
    <w:rsid w:val="0022412D"/>
    <w:rsid w:val="0022774A"/>
    <w:rsid w:val="00233DEB"/>
    <w:rsid w:val="0024304D"/>
    <w:rsid w:val="00245A7B"/>
    <w:rsid w:val="00257DC7"/>
    <w:rsid w:val="00263B9C"/>
    <w:rsid w:val="00265708"/>
    <w:rsid w:val="0026674A"/>
    <w:rsid w:val="00266DE1"/>
    <w:rsid w:val="00274FEE"/>
    <w:rsid w:val="00277E41"/>
    <w:rsid w:val="002824A6"/>
    <w:rsid w:val="00287435"/>
    <w:rsid w:val="00292267"/>
    <w:rsid w:val="002A3BA6"/>
    <w:rsid w:val="002B19D0"/>
    <w:rsid w:val="002B36FB"/>
    <w:rsid w:val="002B6D2D"/>
    <w:rsid w:val="002C06C7"/>
    <w:rsid w:val="002C0AF0"/>
    <w:rsid w:val="002C1F2E"/>
    <w:rsid w:val="002C220E"/>
    <w:rsid w:val="002C37FF"/>
    <w:rsid w:val="002C39E8"/>
    <w:rsid w:val="002C43E4"/>
    <w:rsid w:val="002C550F"/>
    <w:rsid w:val="002C5EF2"/>
    <w:rsid w:val="002D7972"/>
    <w:rsid w:val="002E40B0"/>
    <w:rsid w:val="002F129B"/>
    <w:rsid w:val="002F1FA2"/>
    <w:rsid w:val="002F67D1"/>
    <w:rsid w:val="002F6C64"/>
    <w:rsid w:val="00304B18"/>
    <w:rsid w:val="00305D9F"/>
    <w:rsid w:val="00310A03"/>
    <w:rsid w:val="0031108A"/>
    <w:rsid w:val="00316D56"/>
    <w:rsid w:val="0032316F"/>
    <w:rsid w:val="00323E1E"/>
    <w:rsid w:val="00327CC6"/>
    <w:rsid w:val="00334AF5"/>
    <w:rsid w:val="00335915"/>
    <w:rsid w:val="0033649B"/>
    <w:rsid w:val="003377DD"/>
    <w:rsid w:val="00343CE2"/>
    <w:rsid w:val="00350D84"/>
    <w:rsid w:val="0035248E"/>
    <w:rsid w:val="00356A19"/>
    <w:rsid w:val="003571B8"/>
    <w:rsid w:val="00360F20"/>
    <w:rsid w:val="00365605"/>
    <w:rsid w:val="003659EF"/>
    <w:rsid w:val="00366662"/>
    <w:rsid w:val="00366A07"/>
    <w:rsid w:val="003737D6"/>
    <w:rsid w:val="0037618B"/>
    <w:rsid w:val="00376DC1"/>
    <w:rsid w:val="00380B41"/>
    <w:rsid w:val="00383DD4"/>
    <w:rsid w:val="003840AD"/>
    <w:rsid w:val="003854C0"/>
    <w:rsid w:val="00387C31"/>
    <w:rsid w:val="00391A73"/>
    <w:rsid w:val="00393ABA"/>
    <w:rsid w:val="00397871"/>
    <w:rsid w:val="003A1C3B"/>
    <w:rsid w:val="003A29C9"/>
    <w:rsid w:val="003A3F24"/>
    <w:rsid w:val="003B4E0D"/>
    <w:rsid w:val="003C31C7"/>
    <w:rsid w:val="003C67EA"/>
    <w:rsid w:val="003D2351"/>
    <w:rsid w:val="003D47E3"/>
    <w:rsid w:val="003E0A55"/>
    <w:rsid w:val="003E18DD"/>
    <w:rsid w:val="003E3749"/>
    <w:rsid w:val="003E51F4"/>
    <w:rsid w:val="003E5B79"/>
    <w:rsid w:val="003E5EFE"/>
    <w:rsid w:val="003E64D8"/>
    <w:rsid w:val="003F0779"/>
    <w:rsid w:val="003F1A56"/>
    <w:rsid w:val="003F6E26"/>
    <w:rsid w:val="00400387"/>
    <w:rsid w:val="00407036"/>
    <w:rsid w:val="00407392"/>
    <w:rsid w:val="0040773A"/>
    <w:rsid w:val="00413E81"/>
    <w:rsid w:val="0041559E"/>
    <w:rsid w:val="0042094C"/>
    <w:rsid w:val="0042231B"/>
    <w:rsid w:val="004335A4"/>
    <w:rsid w:val="00450A3E"/>
    <w:rsid w:val="004510BE"/>
    <w:rsid w:val="00462E51"/>
    <w:rsid w:val="00463FF6"/>
    <w:rsid w:val="0046483D"/>
    <w:rsid w:val="00465701"/>
    <w:rsid w:val="00465F8F"/>
    <w:rsid w:val="004673FD"/>
    <w:rsid w:val="004702B6"/>
    <w:rsid w:val="004720C6"/>
    <w:rsid w:val="004759E1"/>
    <w:rsid w:val="00482FB5"/>
    <w:rsid w:val="00485489"/>
    <w:rsid w:val="0048572A"/>
    <w:rsid w:val="00485E36"/>
    <w:rsid w:val="00490487"/>
    <w:rsid w:val="00491E0E"/>
    <w:rsid w:val="004A0A5A"/>
    <w:rsid w:val="004A2B31"/>
    <w:rsid w:val="004A5CA4"/>
    <w:rsid w:val="004A76DF"/>
    <w:rsid w:val="004B39DB"/>
    <w:rsid w:val="004B3BF4"/>
    <w:rsid w:val="004B489B"/>
    <w:rsid w:val="004C0671"/>
    <w:rsid w:val="004C19FD"/>
    <w:rsid w:val="004C1F12"/>
    <w:rsid w:val="004D374F"/>
    <w:rsid w:val="004D527C"/>
    <w:rsid w:val="004D596E"/>
    <w:rsid w:val="004E12A3"/>
    <w:rsid w:val="004E1D19"/>
    <w:rsid w:val="004E2A25"/>
    <w:rsid w:val="004E757F"/>
    <w:rsid w:val="004E7DC2"/>
    <w:rsid w:val="004F006B"/>
    <w:rsid w:val="004F3297"/>
    <w:rsid w:val="004F5975"/>
    <w:rsid w:val="004F5BA3"/>
    <w:rsid w:val="004F768C"/>
    <w:rsid w:val="00504D56"/>
    <w:rsid w:val="0051736C"/>
    <w:rsid w:val="00521D91"/>
    <w:rsid w:val="00522185"/>
    <w:rsid w:val="005224FE"/>
    <w:rsid w:val="00526DB0"/>
    <w:rsid w:val="00535EAA"/>
    <w:rsid w:val="00540D54"/>
    <w:rsid w:val="005417EC"/>
    <w:rsid w:val="00552F2E"/>
    <w:rsid w:val="00554189"/>
    <w:rsid w:val="005549BF"/>
    <w:rsid w:val="00557A88"/>
    <w:rsid w:val="00557CC5"/>
    <w:rsid w:val="00557ECB"/>
    <w:rsid w:val="00562AF5"/>
    <w:rsid w:val="00567104"/>
    <w:rsid w:val="00570CB1"/>
    <w:rsid w:val="00583BAB"/>
    <w:rsid w:val="00583CD0"/>
    <w:rsid w:val="005860DB"/>
    <w:rsid w:val="0058746A"/>
    <w:rsid w:val="00592D4F"/>
    <w:rsid w:val="0059630C"/>
    <w:rsid w:val="00596D03"/>
    <w:rsid w:val="005A067D"/>
    <w:rsid w:val="005B2D94"/>
    <w:rsid w:val="005B4E6E"/>
    <w:rsid w:val="005B6FFD"/>
    <w:rsid w:val="005B7038"/>
    <w:rsid w:val="005C191A"/>
    <w:rsid w:val="005D19A8"/>
    <w:rsid w:val="005D2A35"/>
    <w:rsid w:val="005E00D5"/>
    <w:rsid w:val="005E4EA5"/>
    <w:rsid w:val="005F33EA"/>
    <w:rsid w:val="005F5181"/>
    <w:rsid w:val="005F64F1"/>
    <w:rsid w:val="0060716F"/>
    <w:rsid w:val="00607CA2"/>
    <w:rsid w:val="00611379"/>
    <w:rsid w:val="0061754E"/>
    <w:rsid w:val="00617764"/>
    <w:rsid w:val="00620671"/>
    <w:rsid w:val="00621597"/>
    <w:rsid w:val="006271BD"/>
    <w:rsid w:val="00627BF3"/>
    <w:rsid w:val="00633307"/>
    <w:rsid w:val="006355E4"/>
    <w:rsid w:val="00636055"/>
    <w:rsid w:val="0065053E"/>
    <w:rsid w:val="00654364"/>
    <w:rsid w:val="00664C86"/>
    <w:rsid w:val="006662D7"/>
    <w:rsid w:val="0067096A"/>
    <w:rsid w:val="0067355B"/>
    <w:rsid w:val="00673E3F"/>
    <w:rsid w:val="00680489"/>
    <w:rsid w:val="006850F2"/>
    <w:rsid w:val="006903BF"/>
    <w:rsid w:val="006904A8"/>
    <w:rsid w:val="00691981"/>
    <w:rsid w:val="00691F59"/>
    <w:rsid w:val="0069257F"/>
    <w:rsid w:val="00694F04"/>
    <w:rsid w:val="00694FDC"/>
    <w:rsid w:val="00696237"/>
    <w:rsid w:val="006A6D01"/>
    <w:rsid w:val="006B2152"/>
    <w:rsid w:val="006B4A9D"/>
    <w:rsid w:val="006B52A6"/>
    <w:rsid w:val="006C4658"/>
    <w:rsid w:val="006C4D33"/>
    <w:rsid w:val="006C616D"/>
    <w:rsid w:val="006C67B7"/>
    <w:rsid w:val="006D0211"/>
    <w:rsid w:val="006D4E31"/>
    <w:rsid w:val="006D7E60"/>
    <w:rsid w:val="006E015D"/>
    <w:rsid w:val="006E2536"/>
    <w:rsid w:val="006E60BF"/>
    <w:rsid w:val="006E6648"/>
    <w:rsid w:val="006F128F"/>
    <w:rsid w:val="006F69AD"/>
    <w:rsid w:val="00700738"/>
    <w:rsid w:val="0070282B"/>
    <w:rsid w:val="007037D9"/>
    <w:rsid w:val="00704810"/>
    <w:rsid w:val="00704D1F"/>
    <w:rsid w:val="007062DE"/>
    <w:rsid w:val="00724E96"/>
    <w:rsid w:val="00726304"/>
    <w:rsid w:val="007327BD"/>
    <w:rsid w:val="00732948"/>
    <w:rsid w:val="007344E4"/>
    <w:rsid w:val="007449A0"/>
    <w:rsid w:val="00751C1A"/>
    <w:rsid w:val="00754706"/>
    <w:rsid w:val="00755A2A"/>
    <w:rsid w:val="00757A91"/>
    <w:rsid w:val="00761801"/>
    <w:rsid w:val="00762C85"/>
    <w:rsid w:val="007637C9"/>
    <w:rsid w:val="00765731"/>
    <w:rsid w:val="007708FB"/>
    <w:rsid w:val="00771510"/>
    <w:rsid w:val="00774212"/>
    <w:rsid w:val="00776743"/>
    <w:rsid w:val="00781C1B"/>
    <w:rsid w:val="00787010"/>
    <w:rsid w:val="00790019"/>
    <w:rsid w:val="00792669"/>
    <w:rsid w:val="007A134D"/>
    <w:rsid w:val="007A4BDB"/>
    <w:rsid w:val="007A67E3"/>
    <w:rsid w:val="007B09C2"/>
    <w:rsid w:val="007B196C"/>
    <w:rsid w:val="007B2EF6"/>
    <w:rsid w:val="007B35D4"/>
    <w:rsid w:val="007C320B"/>
    <w:rsid w:val="007C3266"/>
    <w:rsid w:val="007C34DE"/>
    <w:rsid w:val="007D4565"/>
    <w:rsid w:val="007D66E0"/>
    <w:rsid w:val="007E7546"/>
    <w:rsid w:val="007F45C0"/>
    <w:rsid w:val="007F4E56"/>
    <w:rsid w:val="007F62A6"/>
    <w:rsid w:val="007F7BEC"/>
    <w:rsid w:val="00804340"/>
    <w:rsid w:val="00807047"/>
    <w:rsid w:val="0081023B"/>
    <w:rsid w:val="00817A5F"/>
    <w:rsid w:val="008201AE"/>
    <w:rsid w:val="0082029F"/>
    <w:rsid w:val="00820F7F"/>
    <w:rsid w:val="008224B5"/>
    <w:rsid w:val="00826D66"/>
    <w:rsid w:val="00831493"/>
    <w:rsid w:val="00832682"/>
    <w:rsid w:val="00832A36"/>
    <w:rsid w:val="0083361E"/>
    <w:rsid w:val="00833772"/>
    <w:rsid w:val="0083410E"/>
    <w:rsid w:val="0084045B"/>
    <w:rsid w:val="0084277E"/>
    <w:rsid w:val="0084372A"/>
    <w:rsid w:val="00847E30"/>
    <w:rsid w:val="00850A9A"/>
    <w:rsid w:val="00851274"/>
    <w:rsid w:val="008552FA"/>
    <w:rsid w:val="00855A40"/>
    <w:rsid w:val="008634B9"/>
    <w:rsid w:val="008650BD"/>
    <w:rsid w:val="00866409"/>
    <w:rsid w:val="00871229"/>
    <w:rsid w:val="00871709"/>
    <w:rsid w:val="00873ABC"/>
    <w:rsid w:val="00876DD7"/>
    <w:rsid w:val="008807CC"/>
    <w:rsid w:val="008817FC"/>
    <w:rsid w:val="00883D13"/>
    <w:rsid w:val="00884BB8"/>
    <w:rsid w:val="00886B82"/>
    <w:rsid w:val="00887CFD"/>
    <w:rsid w:val="0089476A"/>
    <w:rsid w:val="00895E12"/>
    <w:rsid w:val="00896FED"/>
    <w:rsid w:val="008A4C72"/>
    <w:rsid w:val="008A5FFD"/>
    <w:rsid w:val="008A7BA5"/>
    <w:rsid w:val="008B0DB8"/>
    <w:rsid w:val="008B35C7"/>
    <w:rsid w:val="008B4BEF"/>
    <w:rsid w:val="008B6C36"/>
    <w:rsid w:val="008C10D2"/>
    <w:rsid w:val="008C1A0E"/>
    <w:rsid w:val="008D2A7D"/>
    <w:rsid w:val="008D5C6F"/>
    <w:rsid w:val="008E1D06"/>
    <w:rsid w:val="008E59BC"/>
    <w:rsid w:val="008F0F00"/>
    <w:rsid w:val="008F2595"/>
    <w:rsid w:val="008F33FA"/>
    <w:rsid w:val="00901740"/>
    <w:rsid w:val="00901C2E"/>
    <w:rsid w:val="00905459"/>
    <w:rsid w:val="009063F4"/>
    <w:rsid w:val="00906BDC"/>
    <w:rsid w:val="00906D6B"/>
    <w:rsid w:val="009112B7"/>
    <w:rsid w:val="00912C23"/>
    <w:rsid w:val="00916AE6"/>
    <w:rsid w:val="00917F86"/>
    <w:rsid w:val="00923533"/>
    <w:rsid w:val="00926AC7"/>
    <w:rsid w:val="0093037F"/>
    <w:rsid w:val="00931363"/>
    <w:rsid w:val="00942567"/>
    <w:rsid w:val="00942F10"/>
    <w:rsid w:val="00943598"/>
    <w:rsid w:val="009435E9"/>
    <w:rsid w:val="0095496D"/>
    <w:rsid w:val="009610F9"/>
    <w:rsid w:val="0096286A"/>
    <w:rsid w:val="00966AC3"/>
    <w:rsid w:val="009670F1"/>
    <w:rsid w:val="00967A4D"/>
    <w:rsid w:val="0097404C"/>
    <w:rsid w:val="0098072A"/>
    <w:rsid w:val="00980886"/>
    <w:rsid w:val="00980FDC"/>
    <w:rsid w:val="009840C2"/>
    <w:rsid w:val="00984CEE"/>
    <w:rsid w:val="00985F0F"/>
    <w:rsid w:val="00993E55"/>
    <w:rsid w:val="009A5854"/>
    <w:rsid w:val="009B005C"/>
    <w:rsid w:val="009B0CFF"/>
    <w:rsid w:val="009B2133"/>
    <w:rsid w:val="009B3456"/>
    <w:rsid w:val="009B57B6"/>
    <w:rsid w:val="009B71B1"/>
    <w:rsid w:val="009C600E"/>
    <w:rsid w:val="009E1379"/>
    <w:rsid w:val="009E3216"/>
    <w:rsid w:val="009F11D4"/>
    <w:rsid w:val="00A0208E"/>
    <w:rsid w:val="00A04ED5"/>
    <w:rsid w:val="00A05E9F"/>
    <w:rsid w:val="00A061AF"/>
    <w:rsid w:val="00A06ECC"/>
    <w:rsid w:val="00A076C8"/>
    <w:rsid w:val="00A12270"/>
    <w:rsid w:val="00A14365"/>
    <w:rsid w:val="00A15219"/>
    <w:rsid w:val="00A23482"/>
    <w:rsid w:val="00A2446F"/>
    <w:rsid w:val="00A25205"/>
    <w:rsid w:val="00A30F83"/>
    <w:rsid w:val="00A43985"/>
    <w:rsid w:val="00A44F10"/>
    <w:rsid w:val="00A4596F"/>
    <w:rsid w:val="00A45AD6"/>
    <w:rsid w:val="00A46157"/>
    <w:rsid w:val="00A51CE6"/>
    <w:rsid w:val="00A53F31"/>
    <w:rsid w:val="00A57B4F"/>
    <w:rsid w:val="00A634F8"/>
    <w:rsid w:val="00A6563B"/>
    <w:rsid w:val="00A714E4"/>
    <w:rsid w:val="00A728A1"/>
    <w:rsid w:val="00A73BA5"/>
    <w:rsid w:val="00A828D3"/>
    <w:rsid w:val="00A82F81"/>
    <w:rsid w:val="00A866C8"/>
    <w:rsid w:val="00AA39CD"/>
    <w:rsid w:val="00AA460B"/>
    <w:rsid w:val="00AB154E"/>
    <w:rsid w:val="00AB2387"/>
    <w:rsid w:val="00AB67D1"/>
    <w:rsid w:val="00AC1726"/>
    <w:rsid w:val="00AC23BE"/>
    <w:rsid w:val="00AC3165"/>
    <w:rsid w:val="00AC6026"/>
    <w:rsid w:val="00AD0E78"/>
    <w:rsid w:val="00AD621C"/>
    <w:rsid w:val="00AD6785"/>
    <w:rsid w:val="00AE02BA"/>
    <w:rsid w:val="00AE1EF4"/>
    <w:rsid w:val="00AE5295"/>
    <w:rsid w:val="00AF285A"/>
    <w:rsid w:val="00AF40B5"/>
    <w:rsid w:val="00B01E19"/>
    <w:rsid w:val="00B0411C"/>
    <w:rsid w:val="00B045ED"/>
    <w:rsid w:val="00B06D0D"/>
    <w:rsid w:val="00B0711F"/>
    <w:rsid w:val="00B07477"/>
    <w:rsid w:val="00B1197B"/>
    <w:rsid w:val="00B121BC"/>
    <w:rsid w:val="00B15A88"/>
    <w:rsid w:val="00B239F1"/>
    <w:rsid w:val="00B23C66"/>
    <w:rsid w:val="00B30BA4"/>
    <w:rsid w:val="00B3363A"/>
    <w:rsid w:val="00B33F99"/>
    <w:rsid w:val="00B4517B"/>
    <w:rsid w:val="00B504E3"/>
    <w:rsid w:val="00B52024"/>
    <w:rsid w:val="00B52756"/>
    <w:rsid w:val="00B52866"/>
    <w:rsid w:val="00B65170"/>
    <w:rsid w:val="00B67D4D"/>
    <w:rsid w:val="00B70E1C"/>
    <w:rsid w:val="00B72390"/>
    <w:rsid w:val="00B74DC5"/>
    <w:rsid w:val="00B80378"/>
    <w:rsid w:val="00B83032"/>
    <w:rsid w:val="00B90B5E"/>
    <w:rsid w:val="00B9220B"/>
    <w:rsid w:val="00B9224B"/>
    <w:rsid w:val="00B92B0C"/>
    <w:rsid w:val="00B94364"/>
    <w:rsid w:val="00BB03A9"/>
    <w:rsid w:val="00BB4B71"/>
    <w:rsid w:val="00BB53CA"/>
    <w:rsid w:val="00BB58F4"/>
    <w:rsid w:val="00BC6ACE"/>
    <w:rsid w:val="00BD18D0"/>
    <w:rsid w:val="00BD3480"/>
    <w:rsid w:val="00BE01ED"/>
    <w:rsid w:val="00BE3A88"/>
    <w:rsid w:val="00BE588E"/>
    <w:rsid w:val="00BE6976"/>
    <w:rsid w:val="00BF0BB8"/>
    <w:rsid w:val="00BF2902"/>
    <w:rsid w:val="00C04513"/>
    <w:rsid w:val="00C05BAF"/>
    <w:rsid w:val="00C118AD"/>
    <w:rsid w:val="00C17314"/>
    <w:rsid w:val="00C3106A"/>
    <w:rsid w:val="00C31E6C"/>
    <w:rsid w:val="00C32902"/>
    <w:rsid w:val="00C329D0"/>
    <w:rsid w:val="00C37062"/>
    <w:rsid w:val="00C414FE"/>
    <w:rsid w:val="00C42407"/>
    <w:rsid w:val="00C43FB0"/>
    <w:rsid w:val="00C53F67"/>
    <w:rsid w:val="00C62285"/>
    <w:rsid w:val="00C62F77"/>
    <w:rsid w:val="00C64402"/>
    <w:rsid w:val="00C6474A"/>
    <w:rsid w:val="00C64D7C"/>
    <w:rsid w:val="00C66A31"/>
    <w:rsid w:val="00C67067"/>
    <w:rsid w:val="00C7063A"/>
    <w:rsid w:val="00C7536D"/>
    <w:rsid w:val="00C75A0F"/>
    <w:rsid w:val="00C773ED"/>
    <w:rsid w:val="00C77AF9"/>
    <w:rsid w:val="00C809BC"/>
    <w:rsid w:val="00C82B5B"/>
    <w:rsid w:val="00C8466D"/>
    <w:rsid w:val="00C90269"/>
    <w:rsid w:val="00C90539"/>
    <w:rsid w:val="00C920E6"/>
    <w:rsid w:val="00C9339F"/>
    <w:rsid w:val="00C94A5B"/>
    <w:rsid w:val="00C95948"/>
    <w:rsid w:val="00C97B23"/>
    <w:rsid w:val="00CB02F9"/>
    <w:rsid w:val="00CC08DC"/>
    <w:rsid w:val="00CC1419"/>
    <w:rsid w:val="00CC62DA"/>
    <w:rsid w:val="00CC780C"/>
    <w:rsid w:val="00CD1C68"/>
    <w:rsid w:val="00CF1DFA"/>
    <w:rsid w:val="00CF21F8"/>
    <w:rsid w:val="00CF6086"/>
    <w:rsid w:val="00D01578"/>
    <w:rsid w:val="00D2055B"/>
    <w:rsid w:val="00D212E3"/>
    <w:rsid w:val="00D261F9"/>
    <w:rsid w:val="00D336B3"/>
    <w:rsid w:val="00D35C79"/>
    <w:rsid w:val="00D37A2D"/>
    <w:rsid w:val="00D411B5"/>
    <w:rsid w:val="00D42D21"/>
    <w:rsid w:val="00D46AA3"/>
    <w:rsid w:val="00D46BC9"/>
    <w:rsid w:val="00D474E7"/>
    <w:rsid w:val="00D503E4"/>
    <w:rsid w:val="00D512FE"/>
    <w:rsid w:val="00D608D0"/>
    <w:rsid w:val="00D61AF0"/>
    <w:rsid w:val="00D63588"/>
    <w:rsid w:val="00D64393"/>
    <w:rsid w:val="00D7480B"/>
    <w:rsid w:val="00D75482"/>
    <w:rsid w:val="00D84CFC"/>
    <w:rsid w:val="00D85955"/>
    <w:rsid w:val="00D925CB"/>
    <w:rsid w:val="00D949BC"/>
    <w:rsid w:val="00D95A0F"/>
    <w:rsid w:val="00D96DFA"/>
    <w:rsid w:val="00D9792B"/>
    <w:rsid w:val="00DA1635"/>
    <w:rsid w:val="00DA3555"/>
    <w:rsid w:val="00DB3774"/>
    <w:rsid w:val="00DB3FE6"/>
    <w:rsid w:val="00DC1006"/>
    <w:rsid w:val="00DC37D3"/>
    <w:rsid w:val="00DC691C"/>
    <w:rsid w:val="00DD6609"/>
    <w:rsid w:val="00DD6D58"/>
    <w:rsid w:val="00DE1509"/>
    <w:rsid w:val="00DE4266"/>
    <w:rsid w:val="00DE4524"/>
    <w:rsid w:val="00DE4E7A"/>
    <w:rsid w:val="00DF2BF9"/>
    <w:rsid w:val="00E05910"/>
    <w:rsid w:val="00E05D30"/>
    <w:rsid w:val="00E11BB9"/>
    <w:rsid w:val="00E11C7A"/>
    <w:rsid w:val="00E13152"/>
    <w:rsid w:val="00E15C0E"/>
    <w:rsid w:val="00E1709B"/>
    <w:rsid w:val="00E2147E"/>
    <w:rsid w:val="00E22B1D"/>
    <w:rsid w:val="00E232E0"/>
    <w:rsid w:val="00E255F7"/>
    <w:rsid w:val="00E32647"/>
    <w:rsid w:val="00E337FE"/>
    <w:rsid w:val="00E34C11"/>
    <w:rsid w:val="00E416BC"/>
    <w:rsid w:val="00E52BFE"/>
    <w:rsid w:val="00E55840"/>
    <w:rsid w:val="00E64022"/>
    <w:rsid w:val="00E66575"/>
    <w:rsid w:val="00E6712B"/>
    <w:rsid w:val="00E67F27"/>
    <w:rsid w:val="00E70748"/>
    <w:rsid w:val="00E7411C"/>
    <w:rsid w:val="00E75F5F"/>
    <w:rsid w:val="00E80596"/>
    <w:rsid w:val="00E80FFE"/>
    <w:rsid w:val="00E820BD"/>
    <w:rsid w:val="00E82510"/>
    <w:rsid w:val="00E86812"/>
    <w:rsid w:val="00E86FF2"/>
    <w:rsid w:val="00E935C0"/>
    <w:rsid w:val="00E94D09"/>
    <w:rsid w:val="00E97488"/>
    <w:rsid w:val="00E9798E"/>
    <w:rsid w:val="00EA0F20"/>
    <w:rsid w:val="00EA1D9E"/>
    <w:rsid w:val="00EA2F6B"/>
    <w:rsid w:val="00EB63FE"/>
    <w:rsid w:val="00EB7907"/>
    <w:rsid w:val="00EC64C2"/>
    <w:rsid w:val="00EC7EDB"/>
    <w:rsid w:val="00ED0395"/>
    <w:rsid w:val="00ED27F1"/>
    <w:rsid w:val="00ED794C"/>
    <w:rsid w:val="00ED79A3"/>
    <w:rsid w:val="00EE1D54"/>
    <w:rsid w:val="00EE6BEB"/>
    <w:rsid w:val="00EE7D72"/>
    <w:rsid w:val="00EF1814"/>
    <w:rsid w:val="00EF34A6"/>
    <w:rsid w:val="00EF4E30"/>
    <w:rsid w:val="00EF7E8C"/>
    <w:rsid w:val="00EF7F42"/>
    <w:rsid w:val="00F00528"/>
    <w:rsid w:val="00F011CC"/>
    <w:rsid w:val="00F0298C"/>
    <w:rsid w:val="00F06511"/>
    <w:rsid w:val="00F11CFB"/>
    <w:rsid w:val="00F15A44"/>
    <w:rsid w:val="00F222EB"/>
    <w:rsid w:val="00F2741C"/>
    <w:rsid w:val="00F31B20"/>
    <w:rsid w:val="00F324EC"/>
    <w:rsid w:val="00F32982"/>
    <w:rsid w:val="00F34984"/>
    <w:rsid w:val="00F36B0B"/>
    <w:rsid w:val="00F37AC7"/>
    <w:rsid w:val="00F37B2B"/>
    <w:rsid w:val="00F40A34"/>
    <w:rsid w:val="00F53C89"/>
    <w:rsid w:val="00F57D86"/>
    <w:rsid w:val="00F601EC"/>
    <w:rsid w:val="00F6036F"/>
    <w:rsid w:val="00F613A0"/>
    <w:rsid w:val="00F6163C"/>
    <w:rsid w:val="00F679BF"/>
    <w:rsid w:val="00F75113"/>
    <w:rsid w:val="00F806AF"/>
    <w:rsid w:val="00F8528C"/>
    <w:rsid w:val="00F85B0C"/>
    <w:rsid w:val="00F90984"/>
    <w:rsid w:val="00F90CFF"/>
    <w:rsid w:val="00F957F3"/>
    <w:rsid w:val="00FA2C89"/>
    <w:rsid w:val="00FA6AFC"/>
    <w:rsid w:val="00FB243C"/>
    <w:rsid w:val="00FB2E38"/>
    <w:rsid w:val="00FB6F24"/>
    <w:rsid w:val="00FB78C3"/>
    <w:rsid w:val="00FC05EB"/>
    <w:rsid w:val="00FC1400"/>
    <w:rsid w:val="00FC258B"/>
    <w:rsid w:val="00FC2E81"/>
    <w:rsid w:val="00FC4447"/>
    <w:rsid w:val="00FC51C7"/>
    <w:rsid w:val="00FC59A6"/>
    <w:rsid w:val="00FC6D73"/>
    <w:rsid w:val="00FD1444"/>
    <w:rsid w:val="00FD2798"/>
    <w:rsid w:val="00FD5B11"/>
    <w:rsid w:val="00FE537A"/>
    <w:rsid w:val="00FF1559"/>
    <w:rsid w:val="00FF25FF"/>
    <w:rsid w:val="00FF2A20"/>
    <w:rsid w:val="00FF3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F683F8-03EE-4869-BE93-531A2D847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ine"/>
    <w:qFormat/>
    <w:rsid w:val="00A51CE6"/>
    <w:pPr>
      <w:spacing w:after="200" w:line="276" w:lineRule="auto"/>
    </w:pPr>
    <w:rPr>
      <w:sz w:val="24"/>
    </w:rPr>
  </w:style>
  <w:style w:type="paragraph" w:styleId="Heading1">
    <w:name w:val="heading 1"/>
    <w:next w:val="BodyText"/>
    <w:qFormat/>
    <w:pPr>
      <w:keepNext/>
      <w:spacing w:before="240" w:after="60"/>
      <w:outlineLvl w:val="0"/>
    </w:pPr>
    <w:rPr>
      <w:rFonts w:ascii="Helvetica" w:hAnsi="Helvetica"/>
      <w:b/>
      <w:sz w:val="28"/>
    </w:rPr>
  </w:style>
  <w:style w:type="paragraph" w:styleId="Heading2">
    <w:name w:val="heading 2"/>
    <w:basedOn w:val="Heading1"/>
    <w:next w:val="BodyText"/>
    <w:qFormat/>
    <w:pPr>
      <w:outlineLvl w:val="1"/>
    </w:pPr>
    <w:rPr>
      <w:sz w:val="24"/>
    </w:rPr>
  </w:style>
  <w:style w:type="paragraph" w:styleId="Heading3">
    <w:name w:val="heading 3"/>
    <w:basedOn w:val="Heading2"/>
    <w:next w:val="BodyText"/>
    <w:qFormat/>
    <w:pPr>
      <w:spacing w:before="160"/>
      <w:outlineLvl w:val="2"/>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tyle>
  <w:style w:type="paragraph" w:styleId="BodyTextIndent">
    <w:name w:val="Body Text Indent"/>
    <w:basedOn w:val="BodyText"/>
    <w:pPr>
      <w:ind w:left="360"/>
    </w:pPr>
  </w:style>
  <w:style w:type="paragraph" w:customStyle="1" w:styleId="Cell">
    <w:name w:val="Cell"/>
    <w:rPr>
      <w:rFonts w:ascii="Helvetica" w:hAnsi="Helvetica"/>
    </w:rPr>
  </w:style>
  <w:style w:type="paragraph" w:customStyle="1" w:styleId="CellHeading">
    <w:name w:val="Cell Heading"/>
    <w:basedOn w:val="Cell"/>
    <w:next w:val="Cell"/>
    <w:rPr>
      <w:b/>
      <w:sz w:val="22"/>
    </w:rPr>
  </w:style>
  <w:style w:type="paragraph" w:customStyle="1" w:styleId="CellHeading2">
    <w:name w:val="Cell Heading2"/>
    <w:basedOn w:val="Cell"/>
    <w:pPr>
      <w:spacing w:after="120"/>
    </w:pPr>
    <w:rPr>
      <w:b/>
    </w:rPr>
  </w:style>
  <w:style w:type="paragraph" w:styleId="Date">
    <w:name w:val="Date"/>
  </w:style>
  <w:style w:type="paragraph" w:customStyle="1" w:styleId="DocumentName">
    <w:name w:val="DocumentName"/>
    <w:pPr>
      <w:pBdr>
        <w:top w:val="single" w:sz="2" w:space="1" w:color="auto"/>
        <w:bottom w:val="single" w:sz="2" w:space="1" w:color="auto"/>
      </w:pBdr>
      <w:ind w:right="810"/>
      <w:jc w:val="center"/>
    </w:pPr>
    <w:rPr>
      <w:rFonts w:ascii="Helvetica" w:hAnsi="Helvetica"/>
      <w:b/>
      <w:sz w:val="36"/>
    </w:rPr>
  </w:style>
  <w:style w:type="paragraph" w:styleId="Footer">
    <w:name w:val="footer"/>
    <w:link w:val="FooterChar"/>
    <w:uiPriority w:val="99"/>
    <w:pPr>
      <w:tabs>
        <w:tab w:val="right" w:pos="9360"/>
      </w:tabs>
    </w:pPr>
    <w:rPr>
      <w:sz w:val="18"/>
    </w:rPr>
  </w:style>
  <w:style w:type="paragraph" w:customStyle="1" w:styleId="Footer2">
    <w:name w:val="Footer2"/>
    <w:pPr>
      <w:pBdr>
        <w:top w:val="single" w:sz="2" w:space="1" w:color="auto"/>
      </w:pBdr>
      <w:tabs>
        <w:tab w:val="right" w:pos="10080"/>
      </w:tabs>
      <w:ind w:left="-720"/>
      <w:jc w:val="center"/>
    </w:pPr>
    <w:rPr>
      <w:rFonts w:ascii="Helvetica" w:hAnsi="Helvetica"/>
    </w:rPr>
  </w:style>
  <w:style w:type="character" w:styleId="FootnoteReference">
    <w:name w:val="footnote reference"/>
    <w:semiHidden/>
    <w:rPr>
      <w:rFonts w:ascii="Helvetica" w:hAnsi="Helvetica"/>
      <w:dstrike w:val="0"/>
      <w:color w:val="auto"/>
      <w:sz w:val="16"/>
      <w:vertAlign w:val="superscript"/>
    </w:rPr>
  </w:style>
  <w:style w:type="paragraph" w:styleId="FootnoteText">
    <w:name w:val="footnote text"/>
    <w:semiHidden/>
    <w:pPr>
      <w:pBdr>
        <w:top w:val="single" w:sz="2" w:space="4" w:color="auto"/>
      </w:pBdr>
    </w:pPr>
    <w:rPr>
      <w:rFonts w:ascii="Helvetica" w:hAnsi="Helvetica"/>
      <w:snapToGrid w:val="0"/>
      <w:sz w:val="16"/>
    </w:rPr>
  </w:style>
  <w:style w:type="paragraph" w:styleId="Header">
    <w:name w:val="header"/>
    <w:link w:val="HeaderChar"/>
    <w:uiPriority w:val="99"/>
  </w:style>
  <w:style w:type="paragraph" w:styleId="ListBullet">
    <w:name w:val="List Bullet"/>
    <w:basedOn w:val="BodyText"/>
    <w:pPr>
      <w:numPr>
        <w:numId w:val="2"/>
      </w:numPr>
      <w:spacing w:after="60"/>
    </w:pPr>
  </w:style>
  <w:style w:type="paragraph" w:styleId="ListBullet2">
    <w:name w:val="List Bullet 2"/>
    <w:basedOn w:val="BodyText"/>
    <w:pPr>
      <w:numPr>
        <w:numId w:val="4"/>
      </w:numPr>
      <w:tabs>
        <w:tab w:val="clear" w:pos="360"/>
        <w:tab w:val="left" w:pos="720"/>
      </w:tabs>
      <w:spacing w:after="60"/>
      <w:ind w:left="720"/>
    </w:pPr>
  </w:style>
  <w:style w:type="paragraph" w:customStyle="1" w:styleId="ListBullet2Continue">
    <w:name w:val="List Bullet 2 Continue"/>
    <w:basedOn w:val="ListBullet2"/>
    <w:next w:val="ListBullet2"/>
    <w:pPr>
      <w:numPr>
        <w:numId w:val="0"/>
      </w:numPr>
      <w:tabs>
        <w:tab w:val="clear" w:pos="720"/>
      </w:tabs>
      <w:ind w:left="720"/>
    </w:pPr>
  </w:style>
  <w:style w:type="paragraph" w:customStyle="1" w:styleId="ListBulletContinue">
    <w:name w:val="List Bullet Continue"/>
    <w:basedOn w:val="ListBullet"/>
    <w:next w:val="ListBullet"/>
    <w:pPr>
      <w:numPr>
        <w:numId w:val="0"/>
      </w:numPr>
      <w:ind w:left="360"/>
    </w:pPr>
  </w:style>
  <w:style w:type="paragraph" w:styleId="ListNumber">
    <w:name w:val="List Number"/>
    <w:basedOn w:val="BodyText"/>
    <w:pPr>
      <w:numPr>
        <w:numId w:val="6"/>
      </w:numPr>
      <w:spacing w:after="60"/>
    </w:pPr>
    <w:rPr>
      <w:snapToGrid w:val="0"/>
    </w:rPr>
  </w:style>
  <w:style w:type="paragraph" w:styleId="ListNumber2">
    <w:name w:val="List Number 2"/>
    <w:basedOn w:val="ListNumber"/>
    <w:pPr>
      <w:numPr>
        <w:numId w:val="8"/>
      </w:numPr>
      <w:tabs>
        <w:tab w:val="clear" w:pos="360"/>
        <w:tab w:val="num" w:pos="720"/>
      </w:tabs>
      <w:ind w:left="720"/>
    </w:pPr>
  </w:style>
  <w:style w:type="paragraph" w:styleId="MacroText">
    <w:name w:val="macro"/>
    <w:basedOn w:val="BodyText"/>
    <w:semiHidden/>
    <w:pPr>
      <w:spacing w:after="120"/>
    </w:pPr>
    <w:rPr>
      <w:rFonts w:ascii="Helvetica" w:hAnsi="Helvetica"/>
      <w:snapToGrid w:val="0"/>
      <w:sz w:val="22"/>
    </w:rPr>
  </w:style>
  <w:style w:type="paragraph" w:customStyle="1" w:styleId="Note">
    <w:name w:val="Note"/>
    <w:basedOn w:val="BodyText"/>
    <w:rPr>
      <w:i/>
    </w:rPr>
  </w:style>
  <w:style w:type="paragraph" w:customStyle="1" w:styleId="Noteindent">
    <w:name w:val="Note indent"/>
    <w:basedOn w:val="BodyText"/>
    <w:pPr>
      <w:ind w:left="360"/>
    </w:pPr>
    <w:rPr>
      <w:i/>
    </w:rPr>
  </w:style>
  <w:style w:type="character" w:styleId="PageNumber">
    <w:name w:val="page number"/>
    <w:basedOn w:val="DefaultParagraphFont"/>
  </w:style>
  <w:style w:type="paragraph" w:styleId="BalloonText">
    <w:name w:val="Balloon Text"/>
    <w:basedOn w:val="Normal"/>
    <w:link w:val="BalloonTextChar"/>
    <w:rsid w:val="00D75482"/>
    <w:pPr>
      <w:spacing w:after="0" w:line="240" w:lineRule="auto"/>
    </w:pPr>
    <w:rPr>
      <w:rFonts w:ascii="Tahoma" w:hAnsi="Tahoma" w:cs="Tahoma"/>
      <w:sz w:val="16"/>
      <w:szCs w:val="16"/>
    </w:rPr>
  </w:style>
  <w:style w:type="character" w:customStyle="1" w:styleId="BalloonTextChar">
    <w:name w:val="Balloon Text Char"/>
    <w:link w:val="BalloonText"/>
    <w:rsid w:val="00D75482"/>
    <w:rPr>
      <w:rFonts w:ascii="Tahoma" w:hAnsi="Tahoma" w:cs="Tahoma"/>
      <w:sz w:val="16"/>
      <w:szCs w:val="16"/>
    </w:rPr>
  </w:style>
  <w:style w:type="character" w:styleId="PlaceholderText">
    <w:name w:val="Placeholder Text"/>
    <w:basedOn w:val="DefaultParagraphFont"/>
    <w:uiPriority w:val="99"/>
    <w:semiHidden/>
    <w:rsid w:val="00383DD4"/>
    <w:rPr>
      <w:color w:val="808080"/>
    </w:rPr>
  </w:style>
  <w:style w:type="paragraph" w:styleId="Bibliography">
    <w:name w:val="Bibliography"/>
    <w:basedOn w:val="Normal"/>
    <w:next w:val="Normal"/>
    <w:uiPriority w:val="37"/>
    <w:semiHidden/>
    <w:unhideWhenUsed/>
    <w:rsid w:val="00D925CB"/>
  </w:style>
  <w:style w:type="paragraph" w:styleId="CommentText">
    <w:name w:val="annotation text"/>
    <w:basedOn w:val="Normal"/>
    <w:link w:val="CommentTextChar"/>
    <w:uiPriority w:val="99"/>
    <w:unhideWhenUsed/>
    <w:rsid w:val="00D925CB"/>
    <w:pPr>
      <w:spacing w:line="240" w:lineRule="auto"/>
    </w:pPr>
    <w:rPr>
      <w:rFonts w:ascii="Calibri" w:eastAsia="Calibri" w:hAnsi="Calibri"/>
      <w:sz w:val="20"/>
    </w:rPr>
  </w:style>
  <w:style w:type="character" w:customStyle="1" w:styleId="CommentTextChar">
    <w:name w:val="Comment Text Char"/>
    <w:basedOn w:val="DefaultParagraphFont"/>
    <w:link w:val="CommentText"/>
    <w:uiPriority w:val="99"/>
    <w:rsid w:val="00D925CB"/>
    <w:rPr>
      <w:rFonts w:ascii="Calibri" w:eastAsia="Calibri" w:hAnsi="Calibri"/>
    </w:rPr>
  </w:style>
  <w:style w:type="paragraph" w:styleId="ListParagraph">
    <w:name w:val="List Paragraph"/>
    <w:basedOn w:val="Normal"/>
    <w:uiPriority w:val="34"/>
    <w:qFormat/>
    <w:rsid w:val="00A15219"/>
    <w:pPr>
      <w:ind w:left="720"/>
      <w:contextualSpacing/>
    </w:pPr>
  </w:style>
  <w:style w:type="character" w:styleId="Hyperlink">
    <w:name w:val="Hyperlink"/>
    <w:basedOn w:val="DefaultParagraphFont"/>
    <w:rsid w:val="00807047"/>
    <w:rPr>
      <w:color w:val="0000FF" w:themeColor="hyperlink"/>
      <w:u w:val="single"/>
    </w:rPr>
  </w:style>
  <w:style w:type="character" w:customStyle="1" w:styleId="FooterChar">
    <w:name w:val="Footer Char"/>
    <w:basedOn w:val="DefaultParagraphFont"/>
    <w:link w:val="Footer"/>
    <w:uiPriority w:val="99"/>
    <w:rsid w:val="00A728A1"/>
    <w:rPr>
      <w:sz w:val="18"/>
    </w:rPr>
  </w:style>
  <w:style w:type="character" w:styleId="LineNumber">
    <w:name w:val="line number"/>
    <w:basedOn w:val="DefaultParagraphFont"/>
    <w:semiHidden/>
    <w:unhideWhenUsed/>
    <w:rsid w:val="00A728A1"/>
  </w:style>
  <w:style w:type="character" w:customStyle="1" w:styleId="HeaderChar">
    <w:name w:val="Header Char"/>
    <w:link w:val="Header"/>
    <w:uiPriority w:val="99"/>
    <w:locked/>
    <w:rsid w:val="00A72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59282">
      <w:bodyDiv w:val="1"/>
      <w:marLeft w:val="0"/>
      <w:marRight w:val="0"/>
      <w:marTop w:val="0"/>
      <w:marBottom w:val="0"/>
      <w:divBdr>
        <w:top w:val="none" w:sz="0" w:space="0" w:color="auto"/>
        <w:left w:val="none" w:sz="0" w:space="0" w:color="auto"/>
        <w:bottom w:val="none" w:sz="0" w:space="0" w:color="auto"/>
        <w:right w:val="none" w:sz="0" w:space="0" w:color="auto"/>
      </w:divBdr>
    </w:div>
    <w:div w:id="638267330">
      <w:bodyDiv w:val="1"/>
      <w:marLeft w:val="0"/>
      <w:marRight w:val="0"/>
      <w:marTop w:val="0"/>
      <w:marBottom w:val="0"/>
      <w:divBdr>
        <w:top w:val="none" w:sz="0" w:space="0" w:color="auto"/>
        <w:left w:val="none" w:sz="0" w:space="0" w:color="auto"/>
        <w:bottom w:val="none" w:sz="0" w:space="0" w:color="auto"/>
        <w:right w:val="none" w:sz="0" w:space="0" w:color="auto"/>
      </w:divBdr>
    </w:div>
    <w:div w:id="1434326458">
      <w:bodyDiv w:val="1"/>
      <w:marLeft w:val="0"/>
      <w:marRight w:val="0"/>
      <w:marTop w:val="0"/>
      <w:marBottom w:val="0"/>
      <w:divBdr>
        <w:top w:val="none" w:sz="0" w:space="0" w:color="auto"/>
        <w:left w:val="none" w:sz="0" w:space="0" w:color="auto"/>
        <w:bottom w:val="none" w:sz="0" w:space="0" w:color="auto"/>
        <w:right w:val="none" w:sz="0" w:space="0" w:color="auto"/>
      </w:divBdr>
    </w:div>
    <w:div w:id="188948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47F3E-A5F8-4698-B80A-093ECE5E9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2935</Words>
  <Characters>16731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Fred Hutchinson Cancer Research Center</Company>
  <LinksUpToDate>false</LinksUpToDate>
  <CharactersWithSpaces>19627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jons</dc:creator>
  <cp:lastModifiedBy>C Tran</cp:lastModifiedBy>
  <cp:revision>7</cp:revision>
  <cp:lastPrinted>2014-03-07T19:31:00Z</cp:lastPrinted>
  <dcterms:created xsi:type="dcterms:W3CDTF">2014-10-31T18:41:00Z</dcterms:created>
  <dcterms:modified xsi:type="dcterms:W3CDTF">2014-11-17T22:08:00Z</dcterms:modified>
</cp:coreProperties>
</file>