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13" w:rsidRPr="004C6B13" w:rsidRDefault="004C6B13" w:rsidP="00A91AE0">
      <w:pPr>
        <w:jc w:val="both"/>
        <w:rPr>
          <w:rFonts w:ascii="Times New Roman" w:hAnsi="Times New Roman" w:cs="Times New Roman"/>
          <w:b/>
          <w:sz w:val="24"/>
          <w:szCs w:val="24"/>
          <w:lang w:val="en-US"/>
        </w:rPr>
      </w:pPr>
      <w:r w:rsidRPr="004C6B13">
        <w:rPr>
          <w:rFonts w:ascii="Times New Roman" w:hAnsi="Times New Roman" w:cs="Times New Roman"/>
          <w:b/>
          <w:sz w:val="24"/>
          <w:szCs w:val="24"/>
          <w:lang w:val="en-US"/>
        </w:rPr>
        <w:t>T</w:t>
      </w:r>
      <w:r>
        <w:rPr>
          <w:rFonts w:ascii="Times New Roman" w:hAnsi="Times New Roman" w:cs="Times New Roman"/>
          <w:b/>
          <w:sz w:val="24"/>
          <w:szCs w:val="24"/>
          <w:lang w:val="en-US"/>
        </w:rPr>
        <w:t>able</w:t>
      </w:r>
      <w:r w:rsidRPr="004C6B13">
        <w:rPr>
          <w:rFonts w:ascii="Times New Roman" w:hAnsi="Times New Roman" w:cs="Times New Roman"/>
          <w:b/>
          <w:sz w:val="24"/>
          <w:szCs w:val="24"/>
          <w:lang w:val="en-US"/>
        </w:rPr>
        <w:t xml:space="preserve"> S10: Stouffer </w:t>
      </w:r>
      <w:r w:rsidRPr="000F3D54">
        <w:rPr>
          <w:rFonts w:ascii="Times New Roman" w:hAnsi="Times New Roman" w:cs="Times New Roman"/>
          <w:b/>
          <w:i/>
          <w:sz w:val="24"/>
          <w:szCs w:val="24"/>
          <w:lang w:val="en-US"/>
        </w:rPr>
        <w:t>Z</w:t>
      </w:r>
      <w:r w:rsidRPr="004C6B13">
        <w:rPr>
          <w:rFonts w:ascii="Times New Roman" w:hAnsi="Times New Roman" w:cs="Times New Roman"/>
          <w:b/>
          <w:sz w:val="24"/>
          <w:szCs w:val="24"/>
          <w:lang w:val="en-US"/>
        </w:rPr>
        <w:t xml:space="preserve">-test combining </w:t>
      </w:r>
      <w:r w:rsidRPr="004C6B13">
        <w:rPr>
          <w:rFonts w:ascii="Times New Roman" w:hAnsi="Times New Roman" w:cs="Times New Roman"/>
          <w:b/>
          <w:i/>
          <w:sz w:val="24"/>
          <w:szCs w:val="24"/>
          <w:lang w:val="en-US"/>
        </w:rPr>
        <w:t>P</w:t>
      </w:r>
      <w:r w:rsidRPr="004C6B13">
        <w:rPr>
          <w:rFonts w:ascii="Times New Roman" w:hAnsi="Times New Roman" w:cs="Times New Roman"/>
          <w:b/>
          <w:sz w:val="24"/>
          <w:szCs w:val="24"/>
          <w:lang w:val="en-US"/>
        </w:rPr>
        <w:t>-values of Spearman rank correlation per locus (correlation between total frequency of the three most frequent alleles per locus and latitude</w:t>
      </w:r>
      <w:r w:rsidR="00972FCE">
        <w:rPr>
          <w:rFonts w:ascii="Times New Roman" w:hAnsi="Times New Roman" w:cs="Times New Roman"/>
          <w:b/>
          <w:sz w:val="24"/>
          <w:szCs w:val="24"/>
          <w:lang w:val="en-US"/>
        </w:rPr>
        <w:t xml:space="preserve">; </w:t>
      </w:r>
      <w:r w:rsidR="00972FCE" w:rsidRPr="00972FCE">
        <w:rPr>
          <w:rFonts w:ascii="Times New Roman" w:hAnsi="Times New Roman" w:cs="Times New Roman"/>
          <w:b/>
          <w:sz w:val="24"/>
          <w:szCs w:val="24"/>
          <w:lang w:val="en-US"/>
        </w:rPr>
        <w:t>baseline PL-</w:t>
      </w:r>
      <w:r w:rsidR="00972FCE" w:rsidRPr="00972FCE">
        <w:rPr>
          <w:rFonts w:ascii="Times New Roman" w:hAnsi="Times New Roman" w:cs="Times New Roman"/>
          <w:b/>
          <w:i/>
          <w:sz w:val="24"/>
          <w:szCs w:val="24"/>
          <w:lang w:val="en-US"/>
        </w:rPr>
        <w:t>H</w:t>
      </w:r>
      <w:r w:rsidR="00972FCE" w:rsidRPr="00972FCE">
        <w:rPr>
          <w:rFonts w:ascii="Times New Roman" w:hAnsi="Times New Roman" w:cs="Times New Roman"/>
          <w:b/>
          <w:sz w:val="24"/>
          <w:szCs w:val="24"/>
          <w:vertAlign w:val="subscript"/>
          <w:lang w:val="en-US"/>
        </w:rPr>
        <w:t>e</w:t>
      </w:r>
      <w:r w:rsidR="00972FCE" w:rsidRPr="00972FCE">
        <w:rPr>
          <w:rFonts w:ascii="Times New Roman" w:hAnsi="Times New Roman" w:cs="Times New Roman"/>
          <w:b/>
          <w:sz w:val="24"/>
          <w:szCs w:val="24"/>
          <w:lang w:val="en-US"/>
        </w:rPr>
        <w:t xml:space="preserve"> </w:t>
      </w:r>
      <w:r w:rsidR="00972FCE">
        <w:rPr>
          <w:rFonts w:ascii="Times New Roman" w:hAnsi="Times New Roman" w:cs="Times New Roman"/>
          <w:b/>
          <w:sz w:val="24"/>
          <w:szCs w:val="24"/>
          <w:lang w:val="en-US"/>
        </w:rPr>
        <w:t>&gt;</w:t>
      </w:r>
      <w:r w:rsidR="00972FCE" w:rsidRPr="00972FCE">
        <w:rPr>
          <w:rFonts w:ascii="Times New Roman" w:hAnsi="Times New Roman" w:cs="Times New Roman"/>
          <w:b/>
          <w:sz w:val="24"/>
          <w:szCs w:val="24"/>
          <w:lang w:val="en-US"/>
        </w:rPr>
        <w:t xml:space="preserve"> 0.75</w:t>
      </w:r>
      <w:r w:rsidRPr="004C6B13">
        <w:rPr>
          <w:rFonts w:ascii="Times New Roman" w:hAnsi="Times New Roman" w:cs="Times New Roman"/>
          <w:b/>
          <w:sz w:val="24"/>
          <w:szCs w:val="24"/>
          <w:lang w:val="en-US"/>
        </w:rPr>
        <w:t xml:space="preserve">) </w:t>
      </w:r>
    </w:p>
    <w:tbl>
      <w:tblPr>
        <w:tblStyle w:val="TableGrid"/>
        <w:tblW w:w="0" w:type="auto"/>
        <w:tblLook w:val="04A0" w:firstRow="1" w:lastRow="0" w:firstColumn="1" w:lastColumn="0" w:noHBand="0" w:noVBand="1"/>
      </w:tblPr>
      <w:tblGrid>
        <w:gridCol w:w="1549"/>
        <w:gridCol w:w="2670"/>
        <w:gridCol w:w="996"/>
        <w:gridCol w:w="989"/>
      </w:tblGrid>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Microsatellite</w:t>
            </w:r>
          </w:p>
        </w:tc>
        <w:tc>
          <w:tcPr>
            <w:tcW w:w="2670" w:type="dxa"/>
            <w:noWrap/>
            <w:hideMark/>
          </w:tcPr>
          <w:p w:rsidR="004C6B13" w:rsidRPr="004C6B13" w:rsidRDefault="004C6B13" w:rsidP="00972FCE">
            <w:pPr>
              <w:rPr>
                <w:rFonts w:ascii="Times New Roman" w:hAnsi="Times New Roman" w:cs="Times New Roman"/>
                <w:sz w:val="24"/>
                <w:szCs w:val="24"/>
              </w:rPr>
            </w:pPr>
            <w:r w:rsidRPr="004C6B13">
              <w:rPr>
                <w:rFonts w:ascii="Times New Roman" w:hAnsi="Times New Roman" w:cs="Times New Roman"/>
                <w:sz w:val="24"/>
                <w:szCs w:val="24"/>
              </w:rPr>
              <w:t xml:space="preserve">Spearman correlation coefficient, </w:t>
            </w:r>
            <w:r w:rsidRPr="004C6B13">
              <w:rPr>
                <w:rFonts w:ascii="Times New Roman" w:hAnsi="Times New Roman" w:cs="Times New Roman"/>
                <w:i/>
                <w:sz w:val="24"/>
                <w:szCs w:val="24"/>
              </w:rPr>
              <w:t>ρ</w:t>
            </w:r>
            <w:r w:rsidRPr="004C6B13">
              <w:rPr>
                <w:rFonts w:ascii="Times New Roman" w:hAnsi="Times New Roman" w:cs="Times New Roman"/>
                <w:sz w:val="24"/>
                <w:szCs w:val="24"/>
              </w:rPr>
              <w:t xml:space="preserve"> (</w:t>
            </w:r>
            <w:proofErr w:type="spellStart"/>
            <w:r w:rsidRPr="004C6B13">
              <w:rPr>
                <w:rFonts w:ascii="Times New Roman" w:hAnsi="Times New Roman" w:cs="Times New Roman"/>
                <w:i/>
                <w:sz w:val="24"/>
                <w:szCs w:val="24"/>
              </w:rPr>
              <w:t>n</w:t>
            </w:r>
            <w:r w:rsidRPr="004C6B13">
              <w:rPr>
                <w:rFonts w:ascii="Times New Roman" w:hAnsi="Times New Roman" w:cs="Times New Roman"/>
                <w:sz w:val="24"/>
                <w:szCs w:val="24"/>
                <w:vertAlign w:val="subscript"/>
              </w:rPr>
              <w:t>herds</w:t>
            </w:r>
            <w:proofErr w:type="spellEnd"/>
            <w:r w:rsidRPr="004C6B13">
              <w:rPr>
                <w:rFonts w:ascii="Times New Roman" w:hAnsi="Times New Roman" w:cs="Times New Roman"/>
                <w:sz w:val="24"/>
                <w:szCs w:val="24"/>
              </w:rPr>
              <w:t xml:space="preserve"> = 30)</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 xml:space="preserve">1-sided </w:t>
            </w:r>
            <w:r w:rsidRPr="004C6B13">
              <w:rPr>
                <w:rFonts w:ascii="Times New Roman" w:hAnsi="Times New Roman" w:cs="Times New Roman"/>
                <w:i/>
                <w:sz w:val="24"/>
                <w:szCs w:val="24"/>
              </w:rPr>
              <w:t>P</w:t>
            </w:r>
            <w:r w:rsidRPr="004C6B13">
              <w:rPr>
                <w:rFonts w:ascii="Times New Roman" w:hAnsi="Times New Roman" w:cs="Times New Roman"/>
                <w:sz w:val="24"/>
                <w:szCs w:val="24"/>
              </w:rPr>
              <w:t>-value</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i/>
                <w:sz w:val="24"/>
                <w:szCs w:val="24"/>
              </w:rPr>
              <w:t>Z</w:t>
            </w:r>
            <w:r w:rsidRPr="004C6B13">
              <w:rPr>
                <w:rFonts w:ascii="Times New Roman" w:hAnsi="Times New Roman" w:cs="Times New Roman"/>
                <w:sz w:val="24"/>
                <w:szCs w:val="24"/>
              </w:rPr>
              <w:t>-value</w:t>
            </w:r>
          </w:p>
        </w:tc>
        <w:bookmarkStart w:id="0" w:name="_GoBack"/>
        <w:bookmarkEnd w:id="0"/>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BM1824*</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+0.405</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0.987</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-2.222</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CSSM19*</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-0.659</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0.00004</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3.962</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DIK20</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-0.352</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0.028</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1.909</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TGLA159</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-0.058</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0.380</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0.305</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TGLA57</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-0.100</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0.300</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0.525</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BM719</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-0.468</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0.005</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2.607</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BM3205*</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-0.329</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0.038</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1.778</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IILSTS026</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-0.290</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0.060</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1.556</w:t>
            </w:r>
          </w:p>
        </w:tc>
      </w:tr>
      <w:tr w:rsidR="004C6B13" w:rsidRPr="004C6B13" w:rsidTr="00972FCE">
        <w:trPr>
          <w:trHeight w:val="300"/>
        </w:trPr>
        <w:tc>
          <w:tcPr>
            <w:tcW w:w="1549" w:type="dxa"/>
            <w:noWrap/>
            <w:hideMark/>
          </w:tcPr>
          <w:p w:rsidR="004C6B13" w:rsidRPr="004C6B13" w:rsidRDefault="004C6B13" w:rsidP="00A91AE0">
            <w:pPr>
              <w:jc w:val="both"/>
              <w:rPr>
                <w:rFonts w:ascii="Times New Roman" w:hAnsi="Times New Roman" w:cs="Times New Roman"/>
                <w:i/>
                <w:sz w:val="24"/>
                <w:szCs w:val="24"/>
              </w:rPr>
            </w:pPr>
            <w:r w:rsidRPr="004C6B13">
              <w:rPr>
                <w:rFonts w:ascii="Times New Roman" w:hAnsi="Times New Roman" w:cs="Times New Roman"/>
                <w:i/>
                <w:sz w:val="24"/>
                <w:szCs w:val="24"/>
              </w:rPr>
              <w:t>SPS115</w:t>
            </w:r>
          </w:p>
        </w:tc>
        <w:tc>
          <w:tcPr>
            <w:tcW w:w="2670"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-0.061</w:t>
            </w:r>
          </w:p>
        </w:tc>
        <w:tc>
          <w:tcPr>
            <w:tcW w:w="996"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0.375</w:t>
            </w:r>
          </w:p>
        </w:tc>
        <w:tc>
          <w:tcPr>
            <w:tcW w:w="989" w:type="dxa"/>
            <w:noWrap/>
            <w:hideMark/>
          </w:tcPr>
          <w:p w:rsidR="004C6B13" w:rsidRPr="004C6B13" w:rsidRDefault="004C6B13" w:rsidP="00A91AE0">
            <w:pPr>
              <w:jc w:val="both"/>
              <w:rPr>
                <w:rFonts w:ascii="Times New Roman" w:hAnsi="Times New Roman" w:cs="Times New Roman"/>
                <w:sz w:val="24"/>
                <w:szCs w:val="24"/>
              </w:rPr>
            </w:pPr>
            <w:r w:rsidRPr="004C6B13">
              <w:rPr>
                <w:rFonts w:ascii="Times New Roman" w:hAnsi="Times New Roman" w:cs="Times New Roman"/>
                <w:sz w:val="24"/>
                <w:szCs w:val="24"/>
              </w:rPr>
              <w:t>0.318</w:t>
            </w:r>
          </w:p>
        </w:tc>
      </w:tr>
    </w:tbl>
    <w:p w:rsidR="004C6B13" w:rsidRPr="004C6B13" w:rsidRDefault="004C6B13" w:rsidP="00A91AE0">
      <w:pPr>
        <w:jc w:val="both"/>
        <w:rPr>
          <w:rFonts w:ascii="Times New Roman" w:hAnsi="Times New Roman" w:cs="Times New Roman"/>
          <w:sz w:val="24"/>
          <w:szCs w:val="24"/>
          <w:lang w:val="en-US"/>
        </w:rPr>
      </w:pPr>
      <w:r w:rsidRPr="004C6B13">
        <w:rPr>
          <w:rFonts w:ascii="Times New Roman" w:hAnsi="Times New Roman" w:cs="Times New Roman"/>
          <w:i/>
          <w:sz w:val="24"/>
          <w:szCs w:val="24"/>
          <w:lang w:val="en-US"/>
        </w:rPr>
        <w:t>Z</w:t>
      </w:r>
      <w:r w:rsidRPr="004C6B13">
        <w:rPr>
          <w:rFonts w:ascii="Times New Roman" w:hAnsi="Times New Roman" w:cs="Times New Roman"/>
          <w:i/>
          <w:sz w:val="24"/>
          <w:szCs w:val="24"/>
          <w:vertAlign w:val="subscript"/>
          <w:lang w:val="en-US"/>
        </w:rPr>
        <w:t>S</w:t>
      </w:r>
      <w:r w:rsidRPr="004C6B13">
        <w:rPr>
          <w:rFonts w:ascii="Times New Roman" w:hAnsi="Times New Roman" w:cs="Times New Roman"/>
          <w:sz w:val="24"/>
          <w:szCs w:val="24"/>
          <w:lang w:val="en-US"/>
        </w:rPr>
        <w:t xml:space="preserve"> = 3.579, </w:t>
      </w:r>
      <w:r w:rsidRPr="004C6B13">
        <w:rPr>
          <w:rFonts w:ascii="Times New Roman" w:hAnsi="Times New Roman" w:cs="Times New Roman"/>
          <w:i/>
          <w:sz w:val="24"/>
          <w:szCs w:val="24"/>
          <w:lang w:val="en-US"/>
        </w:rPr>
        <w:t>P</w:t>
      </w:r>
      <w:r w:rsidRPr="004C6B13">
        <w:rPr>
          <w:rFonts w:ascii="Times New Roman" w:hAnsi="Times New Roman" w:cs="Times New Roman"/>
          <w:sz w:val="24"/>
          <w:szCs w:val="24"/>
          <w:vertAlign w:val="subscript"/>
          <w:lang w:val="en-US"/>
        </w:rPr>
        <w:t>1-sided</w:t>
      </w:r>
      <w:r w:rsidRPr="004C6B13">
        <w:rPr>
          <w:rFonts w:ascii="Times New Roman" w:hAnsi="Times New Roman" w:cs="Times New Roman"/>
          <w:sz w:val="24"/>
          <w:szCs w:val="24"/>
          <w:lang w:val="en-US"/>
        </w:rPr>
        <w:t xml:space="preserve"> = 0.00017, </w:t>
      </w:r>
      <w:r w:rsidRPr="004C6B13">
        <w:rPr>
          <w:rFonts w:ascii="Times New Roman" w:hAnsi="Times New Roman" w:cs="Times New Roman"/>
          <w:i/>
          <w:sz w:val="24"/>
          <w:szCs w:val="24"/>
          <w:lang w:val="en-US"/>
        </w:rPr>
        <w:t>P</w:t>
      </w:r>
      <w:r w:rsidRPr="004C6B13">
        <w:rPr>
          <w:rFonts w:ascii="Times New Roman" w:hAnsi="Times New Roman" w:cs="Times New Roman"/>
          <w:sz w:val="24"/>
          <w:szCs w:val="24"/>
          <w:vertAlign w:val="subscript"/>
          <w:lang w:val="en-US"/>
        </w:rPr>
        <w:t>2-sided</w:t>
      </w:r>
      <w:r w:rsidRPr="004C6B13">
        <w:rPr>
          <w:rFonts w:ascii="Times New Roman" w:hAnsi="Times New Roman" w:cs="Times New Roman"/>
          <w:sz w:val="24"/>
          <w:szCs w:val="24"/>
          <w:lang w:val="en-US"/>
        </w:rPr>
        <w:t xml:space="preserve"> = 0.00034, allele frequencies were estimated per herd.</w:t>
      </w:r>
    </w:p>
    <w:p w:rsidR="004C6B13" w:rsidRPr="004C6B13" w:rsidRDefault="004C6B13" w:rsidP="00A91AE0">
      <w:pPr>
        <w:jc w:val="both"/>
        <w:rPr>
          <w:rFonts w:ascii="Times New Roman" w:hAnsi="Times New Roman" w:cs="Times New Roman"/>
          <w:sz w:val="24"/>
          <w:szCs w:val="24"/>
          <w:lang w:val="en-US"/>
        </w:rPr>
      </w:pPr>
      <w:r w:rsidRPr="004C6B13">
        <w:rPr>
          <w:rFonts w:ascii="Times New Roman" w:hAnsi="Times New Roman" w:cs="Times New Roman"/>
          <w:sz w:val="24"/>
          <w:szCs w:val="24"/>
          <w:lang w:val="en-US"/>
        </w:rPr>
        <w:t xml:space="preserve">All nine pooled alleles (total frequency of the three most frequent alleles per locus) were the most frequent throughout the whole of Kruger. Therefore, the allele clines cannot be attributed to a possible bias because the pooled alleles </w:t>
      </w:r>
      <w:r w:rsidR="00952E84">
        <w:rPr>
          <w:rFonts w:ascii="Times New Roman" w:hAnsi="Times New Roman" w:cs="Times New Roman"/>
          <w:sz w:val="24"/>
          <w:szCs w:val="24"/>
          <w:lang w:val="en-US"/>
        </w:rPr>
        <w:t>were</w:t>
      </w:r>
      <w:r w:rsidRPr="004C6B13">
        <w:rPr>
          <w:rFonts w:ascii="Times New Roman" w:hAnsi="Times New Roman" w:cs="Times New Roman"/>
          <w:sz w:val="24"/>
          <w:szCs w:val="24"/>
          <w:lang w:val="en-US"/>
        </w:rPr>
        <w:t xml:space="preserve"> the most frequent in the whole of Kruger due to their relatively high frequency in the south. </w:t>
      </w:r>
    </w:p>
    <w:p w:rsidR="004C6B13" w:rsidRPr="004C6B13" w:rsidRDefault="004C6B13" w:rsidP="00A91AE0">
      <w:pPr>
        <w:jc w:val="both"/>
        <w:rPr>
          <w:rFonts w:ascii="Times New Roman" w:hAnsi="Times New Roman" w:cs="Times New Roman"/>
          <w:sz w:val="24"/>
          <w:szCs w:val="24"/>
          <w:lang w:val="en-US"/>
        </w:rPr>
      </w:pPr>
      <w:r w:rsidRPr="004C6B13">
        <w:rPr>
          <w:rFonts w:ascii="Times New Roman" w:hAnsi="Times New Roman" w:cs="Times New Roman"/>
          <w:sz w:val="24"/>
          <w:szCs w:val="24"/>
          <w:lang w:val="en-US"/>
        </w:rPr>
        <w:t>*: Loci showing significant LD (between all three possible pairs)</w:t>
      </w:r>
    </w:p>
    <w:p w:rsidR="004C6B13" w:rsidRPr="004C6B13" w:rsidRDefault="004C6B13" w:rsidP="00A91AE0">
      <w:pPr>
        <w:jc w:val="both"/>
        <w:rPr>
          <w:rFonts w:ascii="Times New Roman" w:hAnsi="Times New Roman" w:cs="Times New Roman"/>
          <w:sz w:val="24"/>
          <w:szCs w:val="24"/>
          <w:lang w:val="en-US"/>
        </w:rPr>
      </w:pPr>
      <w:r w:rsidRPr="004C6B13">
        <w:rPr>
          <w:rFonts w:ascii="Times New Roman" w:hAnsi="Times New Roman" w:cs="Times New Roman"/>
          <w:sz w:val="24"/>
          <w:szCs w:val="24"/>
          <w:lang w:val="en-US"/>
        </w:rPr>
        <w:t>For unlinked loci</w:t>
      </w:r>
      <w:r w:rsidR="00952E84">
        <w:rPr>
          <w:rFonts w:ascii="Times New Roman" w:hAnsi="Times New Roman" w:cs="Times New Roman"/>
          <w:sz w:val="24"/>
          <w:szCs w:val="24"/>
          <w:lang w:val="en-US"/>
        </w:rPr>
        <w:t>,</w:t>
      </w:r>
      <w:r w:rsidRPr="004C6B13">
        <w:rPr>
          <w:rFonts w:ascii="Times New Roman" w:hAnsi="Times New Roman" w:cs="Times New Roman"/>
          <w:sz w:val="24"/>
          <w:szCs w:val="24"/>
          <w:lang w:val="en-US"/>
        </w:rPr>
        <w:t xml:space="preserve"> when there is no allele cline, the probability that the Spearman correlation coefficient between latitude and allele frequency has the same sign for a pair of loci is expected to be 0.5. However, three loci were in LD, which may have increased the probability that two loci show</w:t>
      </w:r>
      <w:r w:rsidR="00952E84">
        <w:rPr>
          <w:rFonts w:ascii="Times New Roman" w:hAnsi="Times New Roman" w:cs="Times New Roman"/>
          <w:sz w:val="24"/>
          <w:szCs w:val="24"/>
          <w:lang w:val="en-US"/>
        </w:rPr>
        <w:t>ed</w:t>
      </w:r>
      <w:r w:rsidRPr="004C6B13">
        <w:rPr>
          <w:rFonts w:ascii="Times New Roman" w:hAnsi="Times New Roman" w:cs="Times New Roman"/>
          <w:sz w:val="24"/>
          <w:szCs w:val="24"/>
          <w:lang w:val="en-US"/>
        </w:rPr>
        <w:t xml:space="preserve"> the same sign. However, this increase was probably only minor when considering the following two observations. First, frequencies </w:t>
      </w:r>
      <w:r w:rsidR="00952E84">
        <w:rPr>
          <w:rFonts w:ascii="Times New Roman" w:hAnsi="Times New Roman" w:cs="Times New Roman"/>
          <w:sz w:val="24"/>
          <w:szCs w:val="24"/>
          <w:lang w:val="en-US"/>
        </w:rPr>
        <w:t xml:space="preserve">of the pooled alleles </w:t>
      </w:r>
      <w:r w:rsidRPr="004C6B13">
        <w:rPr>
          <w:rFonts w:ascii="Times New Roman" w:hAnsi="Times New Roman" w:cs="Times New Roman"/>
          <w:sz w:val="24"/>
          <w:szCs w:val="24"/>
          <w:lang w:val="en-US"/>
        </w:rPr>
        <w:t>(total of the three most frequent alleles) per herd were not significantly correlated (Spearman correlation) between the three locus pairs in LD (</w:t>
      </w:r>
      <w:r w:rsidRPr="004C6B13">
        <w:rPr>
          <w:rFonts w:ascii="Times New Roman" w:hAnsi="Times New Roman" w:cs="Times New Roman"/>
          <w:i/>
          <w:sz w:val="24"/>
          <w:szCs w:val="24"/>
          <w:lang w:val="en-US"/>
        </w:rPr>
        <w:t>BM1824-CSSM19</w:t>
      </w:r>
      <w:r w:rsidRPr="004C6B13">
        <w:rPr>
          <w:rFonts w:ascii="Times New Roman" w:hAnsi="Times New Roman" w:cs="Times New Roman"/>
          <w:sz w:val="24"/>
          <w:szCs w:val="24"/>
          <w:lang w:val="en-US"/>
        </w:rPr>
        <w:t xml:space="preserve">: </w:t>
      </w:r>
      <w:r w:rsidRPr="004C6B13">
        <w:rPr>
          <w:rFonts w:ascii="Times New Roman" w:hAnsi="Times New Roman" w:cs="Times New Roman"/>
          <w:i/>
          <w:sz w:val="24"/>
          <w:szCs w:val="24"/>
          <w:lang w:val="en-US"/>
        </w:rPr>
        <w:t>P</w:t>
      </w:r>
      <w:r w:rsidRPr="004C6B13">
        <w:rPr>
          <w:rFonts w:ascii="Times New Roman" w:hAnsi="Times New Roman" w:cs="Times New Roman"/>
          <w:sz w:val="24"/>
          <w:szCs w:val="24"/>
          <w:lang w:val="en-US"/>
        </w:rPr>
        <w:t xml:space="preserve"> = 0.72, </w:t>
      </w:r>
      <w:r w:rsidRPr="004C6B13">
        <w:rPr>
          <w:rFonts w:ascii="Times New Roman" w:hAnsi="Times New Roman" w:cs="Times New Roman"/>
          <w:i/>
          <w:sz w:val="24"/>
          <w:szCs w:val="24"/>
          <w:lang w:val="en-US"/>
        </w:rPr>
        <w:t>BM1824-BM3205</w:t>
      </w:r>
      <w:r w:rsidRPr="004C6B13">
        <w:rPr>
          <w:rFonts w:ascii="Times New Roman" w:hAnsi="Times New Roman" w:cs="Times New Roman"/>
          <w:sz w:val="24"/>
          <w:szCs w:val="24"/>
          <w:lang w:val="en-US"/>
        </w:rPr>
        <w:t xml:space="preserve">: </w:t>
      </w:r>
      <w:r w:rsidRPr="004C6B13">
        <w:rPr>
          <w:rFonts w:ascii="Times New Roman" w:hAnsi="Times New Roman" w:cs="Times New Roman"/>
          <w:i/>
          <w:sz w:val="24"/>
          <w:szCs w:val="24"/>
          <w:lang w:val="en-US"/>
        </w:rPr>
        <w:t>P</w:t>
      </w:r>
      <w:r w:rsidRPr="004C6B13">
        <w:rPr>
          <w:rFonts w:ascii="Times New Roman" w:hAnsi="Times New Roman" w:cs="Times New Roman"/>
          <w:sz w:val="24"/>
          <w:szCs w:val="24"/>
          <w:lang w:val="en-US"/>
        </w:rPr>
        <w:t xml:space="preserve"> = 0.42, </w:t>
      </w:r>
      <w:r w:rsidRPr="004C6B13">
        <w:rPr>
          <w:rFonts w:ascii="Times New Roman" w:hAnsi="Times New Roman" w:cs="Times New Roman"/>
          <w:i/>
          <w:sz w:val="24"/>
          <w:szCs w:val="24"/>
          <w:lang w:val="en-US"/>
        </w:rPr>
        <w:t>CSSM19-BM3205</w:t>
      </w:r>
      <w:r w:rsidRPr="004C6B13">
        <w:rPr>
          <w:rFonts w:ascii="Times New Roman" w:hAnsi="Times New Roman" w:cs="Times New Roman"/>
          <w:sz w:val="24"/>
          <w:szCs w:val="24"/>
          <w:lang w:val="en-US"/>
        </w:rPr>
        <w:t xml:space="preserve">: </w:t>
      </w:r>
      <w:r w:rsidRPr="004C6B13">
        <w:rPr>
          <w:rFonts w:ascii="Times New Roman" w:hAnsi="Times New Roman" w:cs="Times New Roman"/>
          <w:i/>
          <w:sz w:val="24"/>
          <w:szCs w:val="24"/>
          <w:lang w:val="en-US"/>
        </w:rPr>
        <w:t>P</w:t>
      </w:r>
      <w:r w:rsidRPr="004C6B13">
        <w:rPr>
          <w:rFonts w:ascii="Times New Roman" w:hAnsi="Times New Roman" w:cs="Times New Roman"/>
          <w:sz w:val="24"/>
          <w:szCs w:val="24"/>
          <w:lang w:val="en-US"/>
        </w:rPr>
        <w:t xml:space="preserve"> = 0.12). Second, when randomizing coordinates among herds, between 45% and 60% of the randomizations (100,000 X) showed the same sign for the Spearman correlation coefficient between latitude and </w:t>
      </w:r>
      <w:r w:rsidR="00952E84">
        <w:rPr>
          <w:rFonts w:ascii="Times New Roman" w:hAnsi="Times New Roman" w:cs="Times New Roman"/>
          <w:sz w:val="24"/>
          <w:szCs w:val="24"/>
          <w:lang w:val="en-US"/>
        </w:rPr>
        <w:t xml:space="preserve">pooled </w:t>
      </w:r>
      <w:r w:rsidRPr="004C6B13">
        <w:rPr>
          <w:rFonts w:ascii="Times New Roman" w:hAnsi="Times New Roman" w:cs="Times New Roman"/>
          <w:sz w:val="24"/>
          <w:szCs w:val="24"/>
          <w:lang w:val="en-US"/>
        </w:rPr>
        <w:t>allele frequency for any two loci in LD (</w:t>
      </w:r>
      <w:r w:rsidRPr="004C6B13">
        <w:rPr>
          <w:rFonts w:ascii="Times New Roman" w:hAnsi="Times New Roman" w:cs="Times New Roman"/>
          <w:i/>
          <w:sz w:val="24"/>
          <w:szCs w:val="24"/>
          <w:lang w:val="en-US"/>
        </w:rPr>
        <w:t>BM1824-CSSM19</w:t>
      </w:r>
      <w:r w:rsidRPr="004C6B13">
        <w:rPr>
          <w:rFonts w:ascii="Times New Roman" w:hAnsi="Times New Roman" w:cs="Times New Roman"/>
          <w:sz w:val="24"/>
          <w:szCs w:val="24"/>
          <w:lang w:val="en-US"/>
        </w:rPr>
        <w:t xml:space="preserve">: 49%, </w:t>
      </w:r>
      <w:r w:rsidRPr="004C6B13">
        <w:rPr>
          <w:rFonts w:ascii="Times New Roman" w:hAnsi="Times New Roman" w:cs="Times New Roman"/>
          <w:i/>
          <w:sz w:val="24"/>
          <w:szCs w:val="24"/>
          <w:lang w:val="en-US"/>
        </w:rPr>
        <w:t>BM1824-BM3205</w:t>
      </w:r>
      <w:r w:rsidRPr="004C6B13">
        <w:rPr>
          <w:rFonts w:ascii="Times New Roman" w:hAnsi="Times New Roman" w:cs="Times New Roman"/>
          <w:sz w:val="24"/>
          <w:szCs w:val="24"/>
          <w:lang w:val="en-US"/>
        </w:rPr>
        <w:t xml:space="preserve">: 45%, </w:t>
      </w:r>
      <w:r w:rsidRPr="004C6B13">
        <w:rPr>
          <w:rFonts w:ascii="Times New Roman" w:hAnsi="Times New Roman" w:cs="Times New Roman"/>
          <w:i/>
          <w:sz w:val="24"/>
          <w:szCs w:val="24"/>
          <w:lang w:val="en-US"/>
        </w:rPr>
        <w:t>CSSM19-BM3205</w:t>
      </w:r>
      <w:r w:rsidRPr="004C6B13">
        <w:rPr>
          <w:rFonts w:ascii="Times New Roman" w:hAnsi="Times New Roman" w:cs="Times New Roman"/>
          <w:sz w:val="24"/>
          <w:szCs w:val="24"/>
          <w:lang w:val="en-US"/>
        </w:rPr>
        <w:t xml:space="preserve">: 60%). </w:t>
      </w:r>
    </w:p>
    <w:p w:rsidR="00824EB0" w:rsidRPr="004C6B13" w:rsidRDefault="00824EB0" w:rsidP="00A91AE0">
      <w:pPr>
        <w:jc w:val="both"/>
        <w:rPr>
          <w:rFonts w:ascii="Times New Roman" w:hAnsi="Times New Roman" w:cs="Times New Roman"/>
          <w:sz w:val="24"/>
          <w:szCs w:val="24"/>
          <w:lang w:val="en-US"/>
        </w:rPr>
      </w:pPr>
    </w:p>
    <w:sectPr w:rsidR="00824EB0" w:rsidRPr="004C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13"/>
    <w:rsid w:val="000F3D54"/>
    <w:rsid w:val="004C6B13"/>
    <w:rsid w:val="00824EB0"/>
    <w:rsid w:val="00952E84"/>
    <w:rsid w:val="00972FCE"/>
    <w:rsid w:val="00A9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1717</Characters>
  <Application>Microsoft Office Word</Application>
  <DocSecurity>0</DocSecurity>
  <Lines>14</Lines>
  <Paragraphs>4</Paragraphs>
  <ScaleCrop>false</ScaleCrop>
  <Company>Wageningen UR</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Hooft, Pim van</dc:creator>
  <cp:lastModifiedBy>Hooft, Pim van</cp:lastModifiedBy>
  <cp:revision>5</cp:revision>
  <dcterms:created xsi:type="dcterms:W3CDTF">2014-09-03T05:45:00Z</dcterms:created>
  <dcterms:modified xsi:type="dcterms:W3CDTF">2014-10-13T06:09:00Z</dcterms:modified>
</cp:coreProperties>
</file>