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59" w:rsidRPr="00ED0F59" w:rsidRDefault="00ED0F59" w:rsidP="00414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59">
        <w:rPr>
          <w:rFonts w:ascii="Times New Roman" w:hAnsi="Times New Roman" w:cs="Times New Roman"/>
          <w:b/>
          <w:sz w:val="24"/>
          <w:szCs w:val="24"/>
        </w:rPr>
        <w:t xml:space="preserve">Table S6: </w:t>
      </w:r>
      <w:r w:rsidRPr="008449F5">
        <w:rPr>
          <w:rFonts w:ascii="Times New Roman" w:hAnsi="Times New Roman" w:cs="Times New Roman"/>
          <w:b/>
          <w:i/>
          <w:sz w:val="24"/>
          <w:szCs w:val="24"/>
        </w:rPr>
        <w:t>Χ</w:t>
      </w:r>
      <w:r w:rsidRPr="00ED0F5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D0F59">
        <w:rPr>
          <w:rFonts w:ascii="Times New Roman" w:hAnsi="Times New Roman" w:cs="Times New Roman"/>
          <w:b/>
          <w:sz w:val="24"/>
          <w:szCs w:val="24"/>
        </w:rPr>
        <w:t xml:space="preserve">-test for differences in frequency distribution of single-locus genotypes between LBC and HBC individuals from southern </w:t>
      </w:r>
      <w:r w:rsidRPr="001E6AFC">
        <w:rPr>
          <w:rFonts w:ascii="Times New Roman" w:hAnsi="Times New Roman" w:cs="Times New Roman"/>
          <w:b/>
          <w:sz w:val="24"/>
          <w:szCs w:val="24"/>
        </w:rPr>
        <w:t>Kruger (</w:t>
      </w:r>
      <w:r w:rsidR="001E6AFC" w:rsidRPr="001E6AFC">
        <w:rPr>
          <w:rFonts w:ascii="Times New Roman" w:hAnsi="Times New Roman" w:cs="Times New Roman"/>
          <w:b/>
          <w:sz w:val="24"/>
          <w:szCs w:val="24"/>
        </w:rPr>
        <w:t>homozygotes vs.</w:t>
      </w:r>
      <w:r w:rsidR="001E6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FC" w:rsidRPr="001E6AFC">
        <w:rPr>
          <w:rFonts w:ascii="Times New Roman" w:hAnsi="Times New Roman" w:cs="Times New Roman"/>
          <w:b/>
          <w:sz w:val="24"/>
          <w:szCs w:val="24"/>
        </w:rPr>
        <w:t xml:space="preserve">heterozygotes with </w:t>
      </w:r>
      <w:r w:rsidR="007A0906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1E6AFC" w:rsidRPr="001E6AFC">
        <w:rPr>
          <w:rFonts w:ascii="Times New Roman" w:hAnsi="Times New Roman" w:cs="Times New Roman"/>
          <w:b/>
          <w:sz w:val="24"/>
          <w:szCs w:val="24"/>
        </w:rPr>
        <w:t>majority allele</w:t>
      </w:r>
      <w:r w:rsidR="008449F5">
        <w:rPr>
          <w:rFonts w:ascii="Times New Roman" w:hAnsi="Times New Roman" w:cs="Times New Roman"/>
          <w:b/>
          <w:sz w:val="24"/>
          <w:szCs w:val="24"/>
        </w:rPr>
        <w:t>;</w:t>
      </w:r>
      <w:r w:rsidR="001E6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59">
        <w:rPr>
          <w:rFonts w:ascii="Times New Roman" w:hAnsi="Times New Roman" w:cs="Times New Roman"/>
          <w:b/>
          <w:iCs/>
          <w:sz w:val="24"/>
          <w:szCs w:val="24"/>
          <w:lang w:val="en-US"/>
        </w:rPr>
        <w:t>baseline PL-</w:t>
      </w:r>
      <w:r w:rsidRPr="00ED0F5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</w:t>
      </w:r>
      <w:r w:rsidRPr="00ED0F59">
        <w:rPr>
          <w:rFonts w:ascii="Times New Roman" w:hAnsi="Times New Roman" w:cs="Times New Roman"/>
          <w:b/>
          <w:iCs/>
          <w:sz w:val="24"/>
          <w:szCs w:val="24"/>
          <w:vertAlign w:val="subscript"/>
          <w:lang w:val="en-US"/>
        </w:rPr>
        <w:t>e</w:t>
      </w:r>
      <w:r w:rsidRPr="00ED0F59">
        <w:rPr>
          <w:rFonts w:ascii="Times New Roman" w:hAnsi="Times New Roman" w:cs="Times New Roman"/>
          <w:b/>
          <w:sz w:val="24"/>
          <w:szCs w:val="24"/>
        </w:rPr>
        <w:t xml:space="preserve"> &lt; 0.56)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031"/>
        <w:gridCol w:w="954"/>
        <w:gridCol w:w="992"/>
        <w:gridCol w:w="927"/>
        <w:gridCol w:w="938"/>
        <w:gridCol w:w="927"/>
      </w:tblGrid>
      <w:tr w:rsidR="00ED0F59" w:rsidRPr="00BA7912" w:rsidTr="00BB0E27">
        <w:trPr>
          <w:trHeight w:val="300"/>
        </w:trPr>
        <w:tc>
          <w:tcPr>
            <w:tcW w:w="3118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Class of single-locus genotype</w:t>
            </w:r>
          </w:p>
        </w:tc>
        <w:tc>
          <w:tcPr>
            <w:tcW w:w="1031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observed</w:t>
            </w:r>
          </w:p>
        </w:tc>
        <w:tc>
          <w:tcPr>
            <w:tcW w:w="954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observed</w:t>
            </w:r>
          </w:p>
        </w:tc>
        <w:tc>
          <w:tcPr>
            <w:tcW w:w="992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LBC expected</w:t>
            </w:r>
          </w:p>
        </w:tc>
        <w:tc>
          <w:tcPr>
            <w:tcW w:w="927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HBC expected</w:t>
            </w:r>
          </w:p>
        </w:tc>
        <w:tc>
          <w:tcPr>
            <w:tcW w:w="938" w:type="dxa"/>
          </w:tcPr>
          <w:p w:rsidR="00ED0F59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</w:t>
            </w:r>
          </w:p>
          <w:p w:rsidR="00ED0F59" w:rsidRPr="00B02C60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927" w:type="dxa"/>
          </w:tcPr>
          <w:p w:rsidR="00ED0F59" w:rsidRPr="00B02C60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C60">
              <w:rPr>
                <w:rFonts w:ascii="Times New Roman" w:hAnsi="Times New Roman" w:cs="Times New Roman"/>
                <w:sz w:val="20"/>
                <w:szCs w:val="20"/>
              </w:rPr>
              <w:t>Fraction HBC expected</w:t>
            </w:r>
          </w:p>
        </w:tc>
      </w:tr>
      <w:tr w:rsidR="00ED0F59" w:rsidRPr="00BA7912" w:rsidTr="00BB0E27">
        <w:trPr>
          <w:trHeight w:val="300"/>
        </w:trPr>
        <w:tc>
          <w:tcPr>
            <w:tcW w:w="3118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Homozygotes, with majority allele</w:t>
            </w:r>
          </w:p>
        </w:tc>
        <w:tc>
          <w:tcPr>
            <w:tcW w:w="1031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954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92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985.20</w:t>
            </w:r>
          </w:p>
        </w:tc>
        <w:tc>
          <w:tcPr>
            <w:tcW w:w="927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370.80</w:t>
            </w:r>
          </w:p>
        </w:tc>
        <w:tc>
          <w:tcPr>
            <w:tcW w:w="938" w:type="dxa"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27" w:type="dxa"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ED0F59" w:rsidRPr="00BA7912" w:rsidTr="00BB0E27">
        <w:trPr>
          <w:trHeight w:val="300"/>
        </w:trPr>
        <w:tc>
          <w:tcPr>
            <w:tcW w:w="3118" w:type="dxa"/>
            <w:noWrap/>
            <w:hideMark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Heterozygotes, with majority allele</w:t>
            </w:r>
          </w:p>
        </w:tc>
        <w:tc>
          <w:tcPr>
            <w:tcW w:w="1031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54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656.80</w:t>
            </w:r>
          </w:p>
        </w:tc>
        <w:tc>
          <w:tcPr>
            <w:tcW w:w="927" w:type="dxa"/>
            <w:noWrap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12">
              <w:rPr>
                <w:rFonts w:ascii="Times New Roman" w:hAnsi="Times New Roman" w:cs="Times New Roman"/>
                <w:sz w:val="20"/>
                <w:szCs w:val="20"/>
              </w:rPr>
              <w:t>247.20</w:t>
            </w:r>
          </w:p>
        </w:tc>
        <w:tc>
          <w:tcPr>
            <w:tcW w:w="938" w:type="dxa"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27" w:type="dxa"/>
          </w:tcPr>
          <w:p w:rsidR="00ED0F59" w:rsidRPr="00BA7912" w:rsidRDefault="00ED0F59" w:rsidP="00414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</w:tbl>
    <w:p w:rsidR="00ED0F59" w:rsidRDefault="00ED0F59" w:rsidP="00414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F59">
        <w:rPr>
          <w:rFonts w:ascii="Times New Roman" w:hAnsi="Times New Roman" w:cs="Times New Roman"/>
          <w:sz w:val="24"/>
          <w:szCs w:val="24"/>
        </w:rPr>
        <w:t>χ</w:t>
      </w:r>
      <w:r w:rsidRPr="00ED0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F59">
        <w:rPr>
          <w:rFonts w:ascii="Times New Roman" w:hAnsi="Times New Roman" w:cs="Times New Roman"/>
          <w:sz w:val="24"/>
          <w:szCs w:val="24"/>
        </w:rPr>
        <w:t>-value</w:t>
      </w:r>
      <w:proofErr w:type="gramEnd"/>
      <w:r w:rsidRPr="00ED0F59">
        <w:rPr>
          <w:rFonts w:ascii="Times New Roman" w:hAnsi="Times New Roman" w:cs="Times New Roman"/>
          <w:sz w:val="24"/>
          <w:szCs w:val="24"/>
        </w:rPr>
        <w:t xml:space="preserve"> = 6.18, </w:t>
      </w:r>
      <w:proofErr w:type="spellStart"/>
      <w:r w:rsidRPr="00ED0F59">
        <w:rPr>
          <w:rFonts w:ascii="Times New Roman" w:hAnsi="Times New Roman" w:cs="Times New Roman"/>
          <w:i/>
          <w:sz w:val="24"/>
          <w:szCs w:val="24"/>
        </w:rPr>
        <w:t>P</w:t>
      </w:r>
      <w:r w:rsidRPr="00ED0F59">
        <w:rPr>
          <w:rFonts w:ascii="Times New Roman" w:hAnsi="Times New Roman" w:cs="Times New Roman"/>
          <w:sz w:val="24"/>
          <w:szCs w:val="24"/>
          <w:vertAlign w:val="subscript"/>
        </w:rPr>
        <w:t>randomization</w:t>
      </w:r>
      <w:proofErr w:type="spellEnd"/>
      <w:r w:rsidRPr="00ED0F59">
        <w:rPr>
          <w:rFonts w:ascii="Times New Roman" w:hAnsi="Times New Roman" w:cs="Times New Roman"/>
          <w:sz w:val="24"/>
          <w:szCs w:val="24"/>
        </w:rPr>
        <w:t xml:space="preserve"> = 0.012. Null hypothesis: identical frequency distribution of the different classes of single-locus genotypes among LBC and among HBC individuals. Probability was estimated by randomization (100,000X) of complete </w:t>
      </w:r>
      <w:proofErr w:type="spellStart"/>
      <w:r w:rsidRPr="00ED0F59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ED0F59">
        <w:rPr>
          <w:rFonts w:ascii="Times New Roman" w:hAnsi="Times New Roman" w:cs="Times New Roman"/>
          <w:sz w:val="24"/>
          <w:szCs w:val="24"/>
        </w:rPr>
        <w:t xml:space="preserve"> genotypes between the two body condition classes (LBC and HBC). </w:t>
      </w:r>
      <w:r w:rsidRPr="00ED0F59">
        <w:rPr>
          <w:rFonts w:ascii="Times New Roman" w:hAnsi="Times New Roman" w:cs="Times New Roman"/>
          <w:i/>
          <w:sz w:val="24"/>
          <w:szCs w:val="24"/>
        </w:rPr>
        <w:t>P</w:t>
      </w:r>
      <w:r w:rsidRPr="00ED0F59">
        <w:rPr>
          <w:rFonts w:ascii="Times New Roman" w:hAnsi="Times New Roman" w:cs="Times New Roman"/>
          <w:sz w:val="24"/>
          <w:szCs w:val="24"/>
        </w:rPr>
        <w:t>-value is the fraction of randomized data sets showing a χ</w:t>
      </w:r>
      <w:r w:rsidRPr="00ED0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F59">
        <w:rPr>
          <w:rFonts w:ascii="Times New Roman" w:hAnsi="Times New Roman" w:cs="Times New Roman"/>
          <w:sz w:val="24"/>
          <w:szCs w:val="24"/>
        </w:rPr>
        <w:t xml:space="preserve">-value equal to or larger than the observed data. Total number of observed single-locus genotypes: number of microsatellites X number of individuals. </w:t>
      </w:r>
    </w:p>
    <w:p w:rsidR="00ED0F59" w:rsidRPr="00444454" w:rsidRDefault="00ED0F59" w:rsidP="00414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HBC: high body condition, LBC: low body condition.  </w:t>
      </w:r>
    </w:p>
    <w:p w:rsidR="00ED0F59" w:rsidRPr="00ED0F59" w:rsidRDefault="00ED0F59" w:rsidP="00414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B0" w:rsidRDefault="00824EB0" w:rsidP="004146A0">
      <w:pPr>
        <w:jc w:val="both"/>
      </w:pPr>
    </w:p>
    <w:sectPr w:rsidR="008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9"/>
    <w:rsid w:val="001E6AFC"/>
    <w:rsid w:val="004146A0"/>
    <w:rsid w:val="007A0906"/>
    <w:rsid w:val="00824EB0"/>
    <w:rsid w:val="008449F5"/>
    <w:rsid w:val="00BB0E27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Hooft, Pim van</dc:creator>
  <cp:lastModifiedBy>Hooft, Pim van</cp:lastModifiedBy>
  <cp:revision>6</cp:revision>
  <dcterms:created xsi:type="dcterms:W3CDTF">2014-09-03T05:38:00Z</dcterms:created>
  <dcterms:modified xsi:type="dcterms:W3CDTF">2014-10-13T05:58:00Z</dcterms:modified>
</cp:coreProperties>
</file>