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5E8" w:rsidRPr="00DA5E9D" w:rsidRDefault="003E55E8" w:rsidP="003E55E8">
      <w:pPr>
        <w:spacing w:line="480" w:lineRule="auto"/>
        <w:ind w:firstLine="0"/>
        <w:rPr>
          <w:rFonts w:ascii="Times New Roman" w:hAnsi="Times New Roman"/>
          <w:b/>
          <w:sz w:val="24"/>
          <w:szCs w:val="24"/>
        </w:rPr>
      </w:pPr>
      <w:r w:rsidRPr="00DA5E9D">
        <w:rPr>
          <w:rFonts w:ascii="Times New Roman" w:hAnsi="Times New Roman"/>
          <w:b/>
          <w:sz w:val="24"/>
          <w:szCs w:val="24"/>
        </w:rPr>
        <w:t>Supporting information</w:t>
      </w:r>
    </w:p>
    <w:p w:rsidR="003E55E8" w:rsidRPr="00DA5E9D" w:rsidRDefault="003E55E8" w:rsidP="003E55E8">
      <w:pPr>
        <w:spacing w:line="480" w:lineRule="auto"/>
        <w:rPr>
          <w:rFonts w:ascii="Times New Roman" w:hAnsi="Times New Roman"/>
          <w:sz w:val="24"/>
          <w:szCs w:val="24"/>
        </w:rPr>
      </w:pPr>
    </w:p>
    <w:p w:rsidR="00DA5E9D" w:rsidRPr="00DA5E9D" w:rsidRDefault="003E55E8" w:rsidP="003E55E8">
      <w:pPr>
        <w:overflowPunct/>
        <w:spacing w:line="480" w:lineRule="auto"/>
        <w:ind w:firstLine="0"/>
        <w:jc w:val="left"/>
        <w:textAlignment w:val="auto"/>
        <w:rPr>
          <w:rFonts w:ascii="Times New Roman" w:eastAsia="Calibri" w:hAnsi="Times New Roman"/>
          <w:iCs/>
          <w:sz w:val="24"/>
          <w:szCs w:val="24"/>
          <w:lang w:eastAsia="en-US"/>
        </w:rPr>
      </w:pPr>
      <w:r w:rsidRPr="00DA5E9D">
        <w:rPr>
          <w:rFonts w:ascii="Times New Roman" w:eastAsia="Calibri" w:hAnsi="Times New Roman"/>
          <w:iCs/>
          <w:sz w:val="24"/>
          <w:szCs w:val="24"/>
          <w:lang w:eastAsia="en-US"/>
        </w:rPr>
        <w:t xml:space="preserve">For the dual purposes of correction for </w:t>
      </w:r>
      <w:proofErr w:type="spellStart"/>
      <w:r w:rsidRPr="00DA5E9D">
        <w:rPr>
          <w:rFonts w:ascii="Times New Roman" w:eastAsia="Calibri" w:hAnsi="Times New Roman"/>
          <w:iCs/>
          <w:sz w:val="24"/>
          <w:szCs w:val="24"/>
          <w:lang w:eastAsia="en-US"/>
        </w:rPr>
        <w:t>heteroskedasticity</w:t>
      </w:r>
      <w:proofErr w:type="spellEnd"/>
      <w:r w:rsidRPr="00DA5E9D">
        <w:rPr>
          <w:rFonts w:ascii="Times New Roman" w:eastAsia="Calibri" w:hAnsi="Times New Roman"/>
          <w:iCs/>
          <w:sz w:val="24"/>
          <w:szCs w:val="24"/>
          <w:lang w:eastAsia="en-US"/>
        </w:rPr>
        <w:t xml:space="preserve"> as well as a systematic exploration of the inversely U-shaped variation in regression residuals, we use one integral estimation method. In case of</w:t>
      </w:r>
      <w:r w:rsidRPr="00DA5E9D">
        <w:rPr>
          <w:rFonts w:ascii="Times New Roman" w:eastAsia="Calibri" w:hAnsi="Times New Roman"/>
          <w:i/>
          <w:iCs/>
          <w:sz w:val="24"/>
          <w:szCs w:val="24"/>
          <w:lang w:eastAsia="en-US"/>
        </w:rPr>
        <w:t xml:space="preserve"> a priori</w:t>
      </w:r>
      <w:r w:rsidRPr="00DA5E9D">
        <w:rPr>
          <w:rFonts w:ascii="Times New Roman" w:eastAsia="Calibri" w:hAnsi="Times New Roman"/>
          <w:iCs/>
          <w:sz w:val="24"/>
          <w:szCs w:val="24"/>
          <w:lang w:eastAsia="en-US"/>
        </w:rPr>
        <w:t xml:space="preserve"> information that can specify </w:t>
      </w:r>
      <w:proofErr w:type="spellStart"/>
      <w:r w:rsidRPr="00DA5E9D">
        <w:rPr>
          <w:rFonts w:ascii="Times New Roman" w:eastAsia="Calibri" w:hAnsi="Times New Roman"/>
          <w:iCs/>
          <w:sz w:val="24"/>
          <w:szCs w:val="24"/>
          <w:lang w:eastAsia="en-US"/>
        </w:rPr>
        <w:t>heteroskedasticity</w:t>
      </w:r>
      <w:proofErr w:type="spellEnd"/>
      <w:r w:rsidRPr="00DA5E9D">
        <w:rPr>
          <w:rFonts w:ascii="Times New Roman" w:eastAsia="Calibri" w:hAnsi="Times New Roman"/>
          <w:iCs/>
          <w:sz w:val="24"/>
          <w:szCs w:val="24"/>
          <w:lang w:eastAsia="en-US"/>
        </w:rPr>
        <w:t xml:space="preserve"> as some function </w:t>
      </w:r>
      <w:r w:rsidR="00844B43" w:rsidRPr="00844B43">
        <w:rPr>
          <w:rFonts w:ascii="Times New Roman" w:eastAsia="Calibri" w:hAnsi="Times New Roman"/>
          <w:iCs/>
          <w:position w:val="-12"/>
          <w:sz w:val="24"/>
          <w:szCs w:val="24"/>
          <w:lang w:eastAsia="en-US"/>
        </w:rPr>
        <w:object w:dxaOrig="6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8.75pt" o:ole="">
            <v:imagedata r:id="rId6" o:title=""/>
          </v:shape>
          <o:OLEObject Type="Embed" ProgID="Equation.DSMT4" ShapeID="_x0000_i1025" DrawAspect="Content" ObjectID="_1474279441" r:id="rId7"/>
        </w:object>
      </w:r>
      <w:r w:rsidR="00844B43">
        <w:rPr>
          <w:rFonts w:ascii="Times New Roman" w:eastAsia="Calibri" w:hAnsi="Times New Roman"/>
          <w:iCs/>
          <w:sz w:val="24"/>
          <w:szCs w:val="24"/>
          <w:lang w:eastAsia="en-US"/>
        </w:rPr>
        <w:t xml:space="preserve"> </w:t>
      </w:r>
      <w:r w:rsidRPr="00DA5E9D">
        <w:rPr>
          <w:rFonts w:ascii="Times New Roman" w:eastAsia="Calibri" w:hAnsi="Times New Roman"/>
          <w:iCs/>
          <w:sz w:val="24"/>
          <w:szCs w:val="24"/>
          <w:lang w:eastAsia="en-US"/>
        </w:rPr>
        <w:t xml:space="preserve">of the independent variable of the linear regression such that </w:t>
      </w:r>
      <w:r w:rsidR="00DA5E9D" w:rsidRPr="00DA5E9D">
        <w:rPr>
          <w:rFonts w:ascii="Times New Roman" w:eastAsia="Calibri" w:hAnsi="Times New Roman"/>
          <w:iCs/>
          <w:position w:val="-12"/>
          <w:sz w:val="24"/>
          <w:szCs w:val="24"/>
          <w:lang w:eastAsia="en-US"/>
        </w:rPr>
        <w:object w:dxaOrig="1520" w:dyaOrig="380">
          <v:shape id="_x0000_i1026" type="#_x0000_t75" style="width:76.5pt;height:19.5pt" o:ole="">
            <v:imagedata r:id="rId8" o:title=""/>
          </v:shape>
          <o:OLEObject Type="Embed" ProgID="Equation.DSMT4" ShapeID="_x0000_i1026" DrawAspect="Content" ObjectID="_1474279442" r:id="rId9"/>
        </w:object>
      </w:r>
      <w:r w:rsidR="00090CE9">
        <w:rPr>
          <w:rFonts w:ascii="Times New Roman" w:eastAsia="Calibri" w:hAnsi="Times New Roman"/>
          <w:iCs/>
          <w:sz w:val="24"/>
          <w:szCs w:val="24"/>
          <w:lang w:eastAsia="en-US"/>
        </w:rPr>
        <w:t>,</w:t>
      </w:r>
    </w:p>
    <w:p w:rsidR="003E55E8" w:rsidRPr="00DA5E9D" w:rsidRDefault="00844B43" w:rsidP="003E55E8">
      <w:pPr>
        <w:overflowPunct/>
        <w:spacing w:line="480" w:lineRule="auto"/>
        <w:ind w:firstLine="0"/>
        <w:jc w:val="left"/>
        <w:textAlignment w:val="auto"/>
        <w:rPr>
          <w:rFonts w:ascii="Times New Roman" w:eastAsia="Calibri" w:hAnsi="Times New Roman"/>
          <w:iCs/>
          <w:sz w:val="24"/>
          <w:szCs w:val="24"/>
          <w:lang w:eastAsia="en-US"/>
        </w:rPr>
      </w:pPr>
      <w:proofErr w:type="gramStart"/>
      <w:r>
        <w:rPr>
          <w:rFonts w:ascii="Times New Roman" w:eastAsia="Calibri" w:hAnsi="Times New Roman"/>
          <w:iCs/>
          <w:sz w:val="24"/>
          <w:szCs w:val="24"/>
          <w:lang w:eastAsia="en-US"/>
        </w:rPr>
        <w:t>o</w:t>
      </w:r>
      <w:r w:rsidRPr="00DA5E9D">
        <w:rPr>
          <w:rFonts w:ascii="Times New Roman" w:eastAsia="Calibri" w:hAnsi="Times New Roman"/>
          <w:iCs/>
          <w:sz w:val="24"/>
          <w:szCs w:val="24"/>
          <w:lang w:eastAsia="en-US"/>
        </w:rPr>
        <w:t>ne</w:t>
      </w:r>
      <w:proofErr w:type="gramEnd"/>
      <w:r w:rsidR="003E55E8" w:rsidRPr="00DA5E9D">
        <w:rPr>
          <w:rFonts w:ascii="Times New Roman" w:eastAsia="Calibri" w:hAnsi="Times New Roman"/>
          <w:iCs/>
          <w:sz w:val="24"/>
          <w:szCs w:val="24"/>
          <w:lang w:eastAsia="en-US"/>
        </w:rPr>
        <w:t xml:space="preserve"> resorts to weighted least squares estimation where observation </w:t>
      </w:r>
      <w:r w:rsidR="003E55E8" w:rsidRPr="00090CE9">
        <w:rPr>
          <w:rFonts w:ascii="Times New Roman" w:eastAsia="Calibri" w:hAnsi="Times New Roman"/>
          <w:i/>
          <w:iCs/>
          <w:sz w:val="24"/>
          <w:szCs w:val="24"/>
          <w:lang w:eastAsia="en-US"/>
        </w:rPr>
        <w:t>i</w:t>
      </w:r>
      <w:r w:rsidR="003E55E8" w:rsidRPr="00DA5E9D">
        <w:rPr>
          <w:rFonts w:ascii="Times New Roman" w:eastAsia="Calibri" w:hAnsi="Times New Roman"/>
          <w:iCs/>
          <w:sz w:val="24"/>
          <w:szCs w:val="24"/>
          <w:lang w:eastAsia="en-US"/>
        </w:rPr>
        <w:t xml:space="preserve"> is weighted by </w:t>
      </w:r>
      <w:r w:rsidR="00090CE9" w:rsidRPr="00090CE9">
        <w:rPr>
          <w:rFonts w:ascii="Times New Roman" w:eastAsia="Calibri" w:hAnsi="Times New Roman"/>
          <w:iCs/>
          <w:position w:val="-12"/>
          <w:sz w:val="24"/>
          <w:szCs w:val="24"/>
          <w:lang w:eastAsia="en-US"/>
        </w:rPr>
        <w:object w:dxaOrig="880" w:dyaOrig="360">
          <v:shape id="_x0000_i1027" type="#_x0000_t75" style="width:44.25pt;height:18.75pt" o:ole="">
            <v:imagedata r:id="rId10" o:title=""/>
          </v:shape>
          <o:OLEObject Type="Embed" ProgID="Equation.DSMT4" ShapeID="_x0000_i1027" DrawAspect="Content" ObjectID="_1474279443" r:id="rId11"/>
        </w:object>
      </w:r>
      <w:r w:rsidR="00090CE9">
        <w:rPr>
          <w:rFonts w:ascii="Times New Roman" w:eastAsia="Calibri" w:hAnsi="Times New Roman"/>
          <w:iCs/>
          <w:sz w:val="24"/>
          <w:szCs w:val="24"/>
          <w:lang w:eastAsia="en-US"/>
        </w:rPr>
        <w:t xml:space="preserve"> </w:t>
      </w:r>
      <w:r w:rsidR="003E55E8" w:rsidRPr="00DA5E9D">
        <w:rPr>
          <w:rFonts w:ascii="Times New Roman" w:eastAsia="Calibri" w:hAnsi="Times New Roman"/>
          <w:iCs/>
          <w:sz w:val="24"/>
          <w:szCs w:val="24"/>
          <w:lang w:eastAsia="en-US"/>
        </w:rPr>
        <w:t xml:space="preserve">for all </w:t>
      </w:r>
      <w:proofErr w:type="spellStart"/>
      <w:r w:rsidR="003E55E8" w:rsidRPr="00DA5E9D">
        <w:rPr>
          <w:rFonts w:ascii="Times New Roman" w:eastAsia="Calibri" w:hAnsi="Times New Roman"/>
          <w:i/>
          <w:iCs/>
          <w:sz w:val="24"/>
          <w:szCs w:val="24"/>
          <w:lang w:eastAsia="en-US"/>
        </w:rPr>
        <w:t>i</w:t>
      </w:r>
      <w:proofErr w:type="spellEnd"/>
      <w:r w:rsidR="003E55E8" w:rsidRPr="00DA5E9D">
        <w:rPr>
          <w:rFonts w:ascii="Times New Roman" w:eastAsia="Calibri" w:hAnsi="Times New Roman"/>
          <w:iCs/>
          <w:sz w:val="24"/>
          <w:szCs w:val="24"/>
          <w:lang w:eastAsia="en-US"/>
        </w:rPr>
        <w:t>.</w:t>
      </w:r>
    </w:p>
    <w:p w:rsidR="003E55E8" w:rsidRPr="00DA5E9D" w:rsidRDefault="003E55E8" w:rsidP="003E55E8">
      <w:pPr>
        <w:overflowPunct/>
        <w:spacing w:line="480" w:lineRule="auto"/>
        <w:ind w:firstLine="0"/>
        <w:jc w:val="left"/>
        <w:textAlignment w:val="auto"/>
        <w:rPr>
          <w:rFonts w:ascii="Times New Roman" w:eastAsia="Calibri" w:hAnsi="Times New Roman"/>
          <w:iCs/>
          <w:sz w:val="24"/>
          <w:szCs w:val="24"/>
          <w:lang w:eastAsia="en-US"/>
        </w:rPr>
      </w:pPr>
    </w:p>
    <w:p w:rsidR="003E55E8" w:rsidRPr="00DA5E9D" w:rsidRDefault="003E55E8" w:rsidP="003E55E8">
      <w:pPr>
        <w:overflowPunct/>
        <w:spacing w:line="480" w:lineRule="auto"/>
        <w:ind w:firstLine="0"/>
        <w:jc w:val="left"/>
        <w:textAlignment w:val="auto"/>
        <w:rPr>
          <w:rFonts w:ascii="Times New Roman" w:eastAsia="Calibri" w:hAnsi="Times New Roman"/>
          <w:iCs/>
          <w:sz w:val="24"/>
          <w:szCs w:val="24"/>
          <w:lang w:eastAsia="en-US"/>
        </w:rPr>
      </w:pPr>
      <w:r w:rsidRPr="00DA5E9D">
        <w:rPr>
          <w:rFonts w:ascii="Times New Roman" w:eastAsia="Calibri" w:hAnsi="Times New Roman"/>
          <w:iCs/>
          <w:sz w:val="24"/>
          <w:szCs w:val="24"/>
          <w:lang w:eastAsia="en-US"/>
        </w:rPr>
        <w:t xml:space="preserve">Nevertheless, since the inversely U-shaped </w:t>
      </w:r>
      <w:proofErr w:type="spellStart"/>
      <w:r w:rsidRPr="00DA5E9D">
        <w:rPr>
          <w:rFonts w:ascii="Times New Roman" w:eastAsia="Calibri" w:hAnsi="Times New Roman"/>
          <w:iCs/>
          <w:sz w:val="24"/>
          <w:szCs w:val="24"/>
          <w:lang w:eastAsia="en-US"/>
        </w:rPr>
        <w:t>heteroskedasticity</w:t>
      </w:r>
      <w:proofErr w:type="spellEnd"/>
      <w:r w:rsidRPr="00DA5E9D">
        <w:rPr>
          <w:rFonts w:ascii="Times New Roman" w:eastAsia="Calibri" w:hAnsi="Times New Roman"/>
          <w:iCs/>
          <w:sz w:val="24"/>
          <w:szCs w:val="24"/>
          <w:lang w:eastAsia="en-US"/>
        </w:rPr>
        <w:t xml:space="preserve"> we observe here is a new phenomenon, we have no such prior information except for what we can observe empirically. The skewed, bell-shaped pattern observed in Figure 1 is representative of all disciplines. Hence, we use one and the same functional form in all regressions. </w:t>
      </w:r>
    </w:p>
    <w:p w:rsidR="003E55E8" w:rsidRPr="00DA5E9D" w:rsidRDefault="003E55E8" w:rsidP="003E55E8">
      <w:pPr>
        <w:overflowPunct/>
        <w:spacing w:line="480" w:lineRule="auto"/>
        <w:ind w:firstLine="0"/>
        <w:jc w:val="left"/>
        <w:textAlignment w:val="auto"/>
        <w:rPr>
          <w:rFonts w:ascii="Times New Roman" w:eastAsia="Calibri" w:hAnsi="Times New Roman"/>
          <w:iCs/>
          <w:sz w:val="24"/>
          <w:szCs w:val="24"/>
          <w:lang w:eastAsia="en-US"/>
        </w:rPr>
      </w:pPr>
    </w:p>
    <w:p w:rsidR="003E55E8" w:rsidRPr="00844B43" w:rsidRDefault="003E55E8" w:rsidP="003E55E8">
      <w:pPr>
        <w:overflowPunct/>
        <w:spacing w:line="480" w:lineRule="auto"/>
        <w:ind w:firstLine="0"/>
        <w:jc w:val="left"/>
        <w:textAlignment w:val="auto"/>
        <w:rPr>
          <w:rFonts w:ascii="Times New Roman" w:eastAsia="Calibri" w:hAnsi="Times New Roman"/>
          <w:iCs/>
          <w:sz w:val="24"/>
          <w:szCs w:val="24"/>
          <w:lang w:eastAsia="en-US"/>
        </w:rPr>
      </w:pPr>
      <w:r w:rsidRPr="00DA5E9D">
        <w:rPr>
          <w:rFonts w:ascii="Times New Roman" w:eastAsia="Calibri" w:hAnsi="Times New Roman"/>
          <w:iCs/>
          <w:sz w:val="24"/>
          <w:szCs w:val="24"/>
          <w:lang w:eastAsia="en-US"/>
        </w:rPr>
        <w:t xml:space="preserve">The functional form that can best capture this pattern is the probability distribution function of the Gamma </w:t>
      </w:r>
      <w:r w:rsidR="00090CE9" w:rsidRPr="00DA5E9D">
        <w:rPr>
          <w:rFonts w:ascii="Times New Roman" w:eastAsia="Calibri" w:hAnsi="Times New Roman"/>
          <w:iCs/>
          <w:sz w:val="24"/>
          <w:szCs w:val="24"/>
          <w:lang w:eastAsia="en-US"/>
        </w:rPr>
        <w:t>distribution</w:t>
      </w:r>
      <w:r w:rsidR="00090CE9" w:rsidRPr="00090CE9">
        <w:rPr>
          <w:rFonts w:ascii="Times New Roman" w:eastAsia="Calibri" w:hAnsi="Times New Roman"/>
          <w:iCs/>
          <w:position w:val="-12"/>
          <w:sz w:val="24"/>
          <w:szCs w:val="24"/>
          <w:lang w:eastAsia="en-US"/>
        </w:rPr>
        <w:object w:dxaOrig="1080" w:dyaOrig="360">
          <v:shape id="_x0000_i1028" type="#_x0000_t75" style="width:54.75pt;height:18.75pt" o:ole="">
            <v:imagedata r:id="rId12" o:title=""/>
          </v:shape>
          <o:OLEObject Type="Embed" ProgID="Equation.DSMT4" ShapeID="_x0000_i1028" DrawAspect="Content" ObjectID="_1474279444" r:id="rId13"/>
        </w:object>
      </w:r>
      <w:r w:rsidR="00090CE9">
        <w:rPr>
          <w:rFonts w:ascii="Times New Roman" w:eastAsia="Calibri" w:hAnsi="Times New Roman"/>
          <w:iCs/>
          <w:sz w:val="24"/>
          <w:szCs w:val="24"/>
          <w:lang w:eastAsia="en-US"/>
        </w:rPr>
        <w:t xml:space="preserve">, </w:t>
      </w:r>
      <w:r w:rsidRPr="00DA5E9D">
        <w:rPr>
          <w:rFonts w:ascii="Times New Roman" w:eastAsia="Calibri" w:hAnsi="Times New Roman"/>
          <w:iCs/>
          <w:sz w:val="24"/>
          <w:szCs w:val="24"/>
          <w:lang w:eastAsia="en-US"/>
        </w:rPr>
        <w:t xml:space="preserve">where </w:t>
      </w:r>
      <w:r w:rsidRPr="00090CE9">
        <w:rPr>
          <w:rFonts w:ascii="Times New Roman" w:eastAsia="Calibri" w:hAnsi="Times New Roman"/>
          <w:i/>
          <w:iCs/>
          <w:sz w:val="24"/>
          <w:szCs w:val="24"/>
          <w:lang w:eastAsia="en-US"/>
        </w:rPr>
        <w:t>θ</w:t>
      </w:r>
      <w:r w:rsidRPr="00DA5E9D">
        <w:rPr>
          <w:rFonts w:ascii="Times New Roman" w:eastAsia="Calibri" w:hAnsi="Times New Roman"/>
          <w:iCs/>
          <w:sz w:val="24"/>
          <w:szCs w:val="24"/>
          <w:lang w:eastAsia="en-US"/>
        </w:rPr>
        <w:t xml:space="preserve"> and </w:t>
      </w:r>
      <w:r w:rsidRPr="00090CE9">
        <w:rPr>
          <w:rFonts w:ascii="Times New Roman" w:eastAsia="Calibri" w:hAnsi="Times New Roman"/>
          <w:i/>
          <w:iCs/>
          <w:sz w:val="24"/>
          <w:szCs w:val="24"/>
          <w:lang w:eastAsia="en-US"/>
        </w:rPr>
        <w:t>γ</w:t>
      </w:r>
      <w:r w:rsidRPr="00DA5E9D">
        <w:rPr>
          <w:rFonts w:ascii="Times New Roman" w:eastAsia="Calibri" w:hAnsi="Times New Roman"/>
          <w:iCs/>
          <w:sz w:val="24"/>
          <w:szCs w:val="24"/>
          <w:lang w:eastAsia="en-US"/>
        </w:rPr>
        <w:t xml:space="preserve"> are parameters. Accordingly we assume</w:t>
      </w:r>
      <w:r w:rsidR="00090CE9">
        <w:rPr>
          <w:rFonts w:ascii="Times New Roman" w:eastAsia="Calibri" w:hAnsi="Times New Roman"/>
          <w:iCs/>
          <w:sz w:val="24"/>
          <w:szCs w:val="24"/>
          <w:lang w:eastAsia="en-US"/>
        </w:rPr>
        <w:t xml:space="preserve"> </w:t>
      </w:r>
      <w:r w:rsidR="00090CE9" w:rsidRPr="00090CE9">
        <w:rPr>
          <w:rFonts w:ascii="Times New Roman" w:eastAsia="Calibri" w:hAnsi="Times New Roman"/>
          <w:iCs/>
          <w:position w:val="-12"/>
          <w:sz w:val="24"/>
          <w:szCs w:val="24"/>
          <w:lang w:eastAsia="en-US"/>
        </w:rPr>
        <w:object w:dxaOrig="2280" w:dyaOrig="380">
          <v:shape id="_x0000_i1029" type="#_x0000_t75" style="width:114pt;height:19.5pt" o:ole="">
            <v:imagedata r:id="rId14" o:title=""/>
          </v:shape>
          <o:OLEObject Type="Embed" ProgID="Equation.DSMT4" ShapeID="_x0000_i1029" DrawAspect="Content" ObjectID="_1474279445" r:id="rId15"/>
        </w:object>
      </w:r>
      <w:r w:rsidRPr="00DA5E9D">
        <w:rPr>
          <w:rFonts w:ascii="Times New Roman" w:eastAsia="Calibri" w:hAnsi="Times New Roman"/>
          <w:iCs/>
          <w:sz w:val="24"/>
          <w:szCs w:val="24"/>
          <w:lang w:eastAsia="en-US"/>
        </w:rPr>
        <w:t xml:space="preserve">and estimate the </w:t>
      </w:r>
      <w:r w:rsidR="00844B43" w:rsidRPr="00DA5E9D">
        <w:rPr>
          <w:rFonts w:ascii="Times New Roman" w:eastAsia="Calibri" w:hAnsi="Times New Roman"/>
          <w:iCs/>
          <w:sz w:val="24"/>
          <w:szCs w:val="24"/>
          <w:lang w:eastAsia="en-US"/>
        </w:rPr>
        <w:t>parameters</w:t>
      </w:r>
      <w:r w:rsidR="00090CE9" w:rsidRPr="00090CE9">
        <w:rPr>
          <w:rFonts w:ascii="Times New Roman" w:eastAsia="Calibri" w:hAnsi="Times New Roman"/>
          <w:iCs/>
          <w:position w:val="-6"/>
          <w:sz w:val="24"/>
          <w:szCs w:val="24"/>
          <w:lang w:eastAsia="en-US"/>
        </w:rPr>
        <w:object w:dxaOrig="300" w:dyaOrig="320">
          <v:shape id="_x0000_i1030" type="#_x0000_t75" style="width:15pt;height:15.75pt" o:ole="">
            <v:imagedata r:id="rId16" o:title=""/>
          </v:shape>
          <o:OLEObject Type="Embed" ProgID="Equation.DSMT4" ShapeID="_x0000_i1030" DrawAspect="Content" ObjectID="_1474279446" r:id="rId17"/>
        </w:object>
      </w:r>
      <w:r w:rsidRPr="00DA5E9D">
        <w:rPr>
          <w:rFonts w:ascii="Times New Roman" w:eastAsia="Calibri" w:hAnsi="Times New Roman"/>
          <w:iCs/>
          <w:sz w:val="24"/>
          <w:szCs w:val="24"/>
          <w:lang w:eastAsia="en-US"/>
        </w:rPr>
        <w:t xml:space="preserve">, </w:t>
      </w:r>
      <w:r w:rsidR="00090CE9" w:rsidRPr="00090CE9">
        <w:rPr>
          <w:rFonts w:ascii="Times New Roman" w:eastAsia="Calibri" w:hAnsi="Times New Roman"/>
          <w:iCs/>
          <w:position w:val="-10"/>
          <w:sz w:val="24"/>
          <w:szCs w:val="24"/>
          <w:lang w:eastAsia="en-US"/>
        </w:rPr>
        <w:object w:dxaOrig="279" w:dyaOrig="360">
          <v:shape id="_x0000_i1031" type="#_x0000_t75" style="width:14.25pt;height:18.75pt" o:ole="">
            <v:imagedata r:id="rId18" o:title=""/>
          </v:shape>
          <o:OLEObject Type="Embed" ProgID="Equation.DSMT4" ShapeID="_x0000_i1031" DrawAspect="Content" ObjectID="_1474279447" r:id="rId19"/>
        </w:object>
      </w:r>
      <w:r w:rsidR="00090CE9">
        <w:rPr>
          <w:rFonts w:ascii="Times New Roman" w:eastAsia="Calibri" w:hAnsi="Times New Roman"/>
          <w:iCs/>
          <w:sz w:val="24"/>
          <w:szCs w:val="24"/>
          <w:lang w:eastAsia="en-US"/>
        </w:rPr>
        <w:t xml:space="preserve"> </w:t>
      </w:r>
      <w:r w:rsidRPr="00DA5E9D">
        <w:rPr>
          <w:rFonts w:ascii="Times New Roman" w:eastAsia="Calibri" w:hAnsi="Times New Roman"/>
          <w:iCs/>
          <w:sz w:val="24"/>
          <w:szCs w:val="24"/>
          <w:lang w:eastAsia="en-US"/>
        </w:rPr>
        <w:t xml:space="preserve"> as well as </w:t>
      </w:r>
      <w:r w:rsidR="00090CE9" w:rsidRPr="00090CE9">
        <w:rPr>
          <w:rFonts w:ascii="Times New Roman" w:eastAsia="Calibri" w:hAnsi="Times New Roman"/>
          <w:iCs/>
          <w:position w:val="-6"/>
          <w:sz w:val="24"/>
          <w:szCs w:val="24"/>
          <w:lang w:eastAsia="en-US"/>
        </w:rPr>
        <w:object w:dxaOrig="300" w:dyaOrig="320">
          <v:shape id="_x0000_i1032" type="#_x0000_t75" style="width:15pt;height:15.75pt" o:ole="">
            <v:imagedata r:id="rId20" o:title=""/>
          </v:shape>
          <o:OLEObject Type="Embed" ProgID="Equation.DSMT4" ShapeID="_x0000_i1032" DrawAspect="Content" ObjectID="_1474279448" r:id="rId21"/>
        </w:object>
      </w:r>
      <w:r w:rsidR="00090CE9">
        <w:rPr>
          <w:rFonts w:ascii="Times New Roman" w:eastAsia="Calibri" w:hAnsi="Times New Roman"/>
          <w:iCs/>
          <w:sz w:val="24"/>
          <w:szCs w:val="24"/>
          <w:lang w:eastAsia="en-US"/>
        </w:rPr>
        <w:t xml:space="preserve"> </w:t>
      </w:r>
      <w:r w:rsidRPr="00DA5E9D">
        <w:rPr>
          <w:rFonts w:ascii="Times New Roman" w:eastAsia="Calibri" w:hAnsi="Times New Roman"/>
          <w:iCs/>
          <w:sz w:val="24"/>
          <w:szCs w:val="24"/>
          <w:lang w:eastAsia="en-US"/>
        </w:rPr>
        <w:t xml:space="preserve">(which is yet another parameter that scales the functional form) and by ordinary least squares estimation on the basis of the residuals of initial (non-weighted) linear regression estimation. </w:t>
      </w:r>
      <w:r w:rsidR="00844B43">
        <w:rPr>
          <w:rFonts w:ascii="Times New Roman" w:eastAsia="Calibri" w:hAnsi="Times New Roman"/>
          <w:iCs/>
          <w:sz w:val="24"/>
          <w:szCs w:val="24"/>
          <w:lang w:eastAsia="en-US"/>
        </w:rPr>
        <w:t xml:space="preserve">Note that the superscript </w:t>
      </w:r>
      <w:r w:rsidR="00844B43" w:rsidRPr="00844B43">
        <w:rPr>
          <w:rFonts w:ascii="Times New Roman" w:eastAsia="Calibri" w:hAnsi="Times New Roman"/>
          <w:i/>
          <w:iCs/>
          <w:sz w:val="24"/>
          <w:szCs w:val="24"/>
          <w:lang w:eastAsia="en-US"/>
        </w:rPr>
        <w:t>j</w:t>
      </w:r>
      <w:r w:rsidR="00844B43">
        <w:rPr>
          <w:rFonts w:ascii="Times New Roman" w:eastAsia="Calibri" w:hAnsi="Times New Roman"/>
          <w:iCs/>
          <w:sz w:val="24"/>
          <w:szCs w:val="24"/>
          <w:lang w:eastAsia="en-US"/>
        </w:rPr>
        <w:t xml:space="preserve"> denotes individual disciplines.</w:t>
      </w:r>
    </w:p>
    <w:p w:rsidR="003E55E8" w:rsidRPr="00DA5E9D" w:rsidRDefault="003E55E8" w:rsidP="003E55E8">
      <w:pPr>
        <w:overflowPunct/>
        <w:spacing w:line="480" w:lineRule="auto"/>
        <w:ind w:firstLine="0"/>
        <w:jc w:val="left"/>
        <w:textAlignment w:val="auto"/>
        <w:rPr>
          <w:rFonts w:ascii="Times New Roman" w:eastAsia="Calibri" w:hAnsi="Times New Roman"/>
          <w:iCs/>
          <w:sz w:val="24"/>
          <w:szCs w:val="24"/>
          <w:lang w:eastAsia="en-US"/>
        </w:rPr>
      </w:pPr>
    </w:p>
    <w:p w:rsidR="003E55E8" w:rsidRPr="00DA5E9D" w:rsidRDefault="003E55E8" w:rsidP="003E55E8">
      <w:pPr>
        <w:overflowPunct/>
        <w:spacing w:line="480" w:lineRule="auto"/>
        <w:ind w:firstLine="0"/>
        <w:jc w:val="left"/>
        <w:textAlignment w:val="auto"/>
        <w:rPr>
          <w:rFonts w:ascii="Times New Roman" w:eastAsia="Calibri" w:hAnsi="Times New Roman"/>
          <w:iCs/>
          <w:sz w:val="24"/>
          <w:szCs w:val="24"/>
          <w:lang w:eastAsia="en-US"/>
        </w:rPr>
      </w:pPr>
      <w:r w:rsidRPr="00DA5E9D">
        <w:rPr>
          <w:rFonts w:ascii="Times New Roman" w:eastAsia="Calibri" w:hAnsi="Times New Roman"/>
          <w:iCs/>
          <w:sz w:val="24"/>
          <w:szCs w:val="24"/>
          <w:lang w:eastAsia="en-US"/>
        </w:rPr>
        <w:t xml:space="preserve">Figure </w:t>
      </w:r>
      <w:r w:rsidR="00D32241">
        <w:rPr>
          <w:rFonts w:ascii="Times New Roman" w:eastAsia="Calibri" w:hAnsi="Times New Roman"/>
          <w:iCs/>
          <w:sz w:val="24"/>
          <w:szCs w:val="24"/>
          <w:lang w:eastAsia="en-US"/>
        </w:rPr>
        <w:t>S</w:t>
      </w:r>
      <w:r w:rsidRPr="00DA5E9D">
        <w:rPr>
          <w:rFonts w:ascii="Times New Roman" w:eastAsia="Calibri" w:hAnsi="Times New Roman"/>
          <w:iCs/>
          <w:sz w:val="24"/>
          <w:szCs w:val="24"/>
          <w:lang w:eastAsia="en-US"/>
        </w:rPr>
        <w:t>1 depicts the estimated variance functions (i.e., the continuous red curves) along with the scatter plot of absolute values of the respective error terms against (log) city size for the whole dataset (all disciplines</w:t>
      </w:r>
      <w:r w:rsidR="00844B43">
        <w:rPr>
          <w:rFonts w:ascii="Times New Roman" w:eastAsia="Calibri" w:hAnsi="Times New Roman"/>
          <w:iCs/>
          <w:sz w:val="24"/>
          <w:szCs w:val="24"/>
          <w:lang w:eastAsia="en-US"/>
        </w:rPr>
        <w:t xml:space="preserve"> together</w:t>
      </w:r>
      <w:r w:rsidRPr="00DA5E9D">
        <w:rPr>
          <w:rFonts w:ascii="Times New Roman" w:eastAsia="Calibri" w:hAnsi="Times New Roman"/>
          <w:iCs/>
          <w:sz w:val="24"/>
          <w:szCs w:val="24"/>
          <w:lang w:eastAsia="en-US"/>
        </w:rPr>
        <w:t xml:space="preserve">) and three selected disciplines. These examples also show that, despite the similarity in the general form, scientific disciplines are heterogeneous </w:t>
      </w:r>
      <w:r w:rsidRPr="00DA5E9D">
        <w:rPr>
          <w:rFonts w:ascii="Times New Roman" w:eastAsia="Calibri" w:hAnsi="Times New Roman"/>
          <w:iCs/>
          <w:sz w:val="24"/>
          <w:szCs w:val="24"/>
          <w:lang w:eastAsia="en-US"/>
        </w:rPr>
        <w:lastRenderedPageBreak/>
        <w:t xml:space="preserve">in terms of the variation not explainable by scaling laws. For example, while such variance is highest at the city size of 73,466 (i.e., </w:t>
      </w:r>
      <w:r w:rsidRPr="00DA5E9D">
        <w:rPr>
          <w:rFonts w:ascii="Times New Roman" w:eastAsia="Calibri" w:hAnsi="Times New Roman"/>
          <w:i/>
          <w:iCs/>
          <w:sz w:val="24"/>
          <w:szCs w:val="24"/>
          <w:lang w:eastAsia="en-US"/>
        </w:rPr>
        <w:t>e</w:t>
      </w:r>
      <w:r w:rsidRPr="00DA5E9D">
        <w:rPr>
          <w:rFonts w:ascii="Times New Roman" w:eastAsia="Calibri" w:hAnsi="Times New Roman"/>
          <w:i/>
          <w:iCs/>
          <w:sz w:val="24"/>
          <w:szCs w:val="24"/>
          <w:vertAlign w:val="superscript"/>
          <w:lang w:eastAsia="en-US"/>
        </w:rPr>
        <w:t>11.205</w:t>
      </w:r>
      <w:r w:rsidRPr="00DA5E9D">
        <w:rPr>
          <w:rFonts w:ascii="Times New Roman" w:eastAsia="Calibri" w:hAnsi="Times New Roman"/>
          <w:iCs/>
          <w:sz w:val="24"/>
          <w:szCs w:val="24"/>
          <w:vertAlign w:val="superscript"/>
          <w:lang w:eastAsia="en-US"/>
        </w:rPr>
        <w:t>)</w:t>
      </w:r>
      <w:r w:rsidRPr="00DA5E9D">
        <w:rPr>
          <w:rFonts w:ascii="Times New Roman" w:eastAsia="Calibri" w:hAnsi="Times New Roman"/>
          <w:iCs/>
          <w:sz w:val="24"/>
          <w:szCs w:val="24"/>
          <w:lang w:eastAsia="en-US"/>
        </w:rPr>
        <w:t xml:space="preserve"> at the aggregate level, it is 252,760 for arts and humanities and 165,703 for engineering.</w:t>
      </w:r>
    </w:p>
    <w:p w:rsidR="00641969" w:rsidRDefault="00641969" w:rsidP="00022098">
      <w:pPr>
        <w:ind w:firstLine="0"/>
      </w:pPr>
      <w:bookmarkStart w:id="0" w:name="_GoBack"/>
      <w:bookmarkEnd w:id="0"/>
    </w:p>
    <w:sectPr w:rsidR="00641969" w:rsidSect="00A65967">
      <w:footerReference w:type="default" r:id="rId22"/>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D01" w:rsidRDefault="00F44D01">
      <w:pPr>
        <w:spacing w:line="240" w:lineRule="auto"/>
      </w:pPr>
      <w:r>
        <w:separator/>
      </w:r>
    </w:p>
  </w:endnote>
  <w:endnote w:type="continuationSeparator" w:id="0">
    <w:p w:rsidR="00F44D01" w:rsidRDefault="00F44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6438"/>
      <w:docPartObj>
        <w:docPartGallery w:val="Page Numbers (Bottom of Page)"/>
        <w:docPartUnique/>
      </w:docPartObj>
    </w:sdtPr>
    <w:sdtEndPr/>
    <w:sdtContent>
      <w:p w:rsidR="00B85EDB" w:rsidRDefault="003E55E8">
        <w:pPr>
          <w:pStyle w:val="Footer"/>
          <w:jc w:val="center"/>
        </w:pPr>
        <w:r>
          <w:fldChar w:fldCharType="begin"/>
        </w:r>
        <w:r>
          <w:instrText xml:space="preserve"> PAGE   \* MERGEFORMAT </w:instrText>
        </w:r>
        <w:r>
          <w:fldChar w:fldCharType="separate"/>
        </w:r>
        <w:r w:rsidR="00022098">
          <w:rPr>
            <w:noProof/>
          </w:rPr>
          <w:t>2</w:t>
        </w:r>
        <w:r>
          <w:rPr>
            <w:noProof/>
          </w:rPr>
          <w:fldChar w:fldCharType="end"/>
        </w:r>
      </w:p>
    </w:sdtContent>
  </w:sdt>
  <w:p w:rsidR="00B85EDB" w:rsidRDefault="00F44D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D01" w:rsidRDefault="00F44D01">
      <w:pPr>
        <w:spacing w:line="240" w:lineRule="auto"/>
      </w:pPr>
      <w:r>
        <w:separator/>
      </w:r>
    </w:p>
  </w:footnote>
  <w:footnote w:type="continuationSeparator" w:id="0">
    <w:p w:rsidR="00F44D01" w:rsidRDefault="00F44D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5E8"/>
    <w:rsid w:val="00022098"/>
    <w:rsid w:val="00090CE9"/>
    <w:rsid w:val="00247D6E"/>
    <w:rsid w:val="002C3D04"/>
    <w:rsid w:val="003975DE"/>
    <w:rsid w:val="003E55E8"/>
    <w:rsid w:val="00641969"/>
    <w:rsid w:val="00740654"/>
    <w:rsid w:val="00844B43"/>
    <w:rsid w:val="009D12BF"/>
    <w:rsid w:val="00D32241"/>
    <w:rsid w:val="00DA5E9D"/>
    <w:rsid w:val="00F44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2AE25-0BAE-4BF0-B359-CABE920E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5E8"/>
    <w:pPr>
      <w:overflowPunct w:val="0"/>
      <w:autoSpaceDE w:val="0"/>
      <w:autoSpaceDN w:val="0"/>
      <w:adjustRightInd w:val="0"/>
      <w:spacing w:after="0" w:line="240" w:lineRule="atLeast"/>
      <w:ind w:firstLine="238"/>
      <w:jc w:val="both"/>
      <w:textAlignment w:val="baseline"/>
    </w:pPr>
    <w:rPr>
      <w:rFonts w:ascii="Times" w:eastAsia="Times New Roman" w:hAnsi="Times" w:cs="Times New Roman"/>
      <w:sz w:val="20"/>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E55E8"/>
    <w:pPr>
      <w:tabs>
        <w:tab w:val="center" w:pos="4536"/>
        <w:tab w:val="right" w:pos="9072"/>
      </w:tabs>
      <w:spacing w:line="240" w:lineRule="auto"/>
    </w:pPr>
  </w:style>
  <w:style w:type="character" w:customStyle="1" w:styleId="FooterChar">
    <w:name w:val="Footer Char"/>
    <w:basedOn w:val="DefaultParagraphFont"/>
    <w:link w:val="Footer"/>
    <w:uiPriority w:val="99"/>
    <w:rsid w:val="003E55E8"/>
    <w:rPr>
      <w:rFonts w:ascii="Times" w:eastAsia="Times New Roman" w:hAnsi="Times" w:cs="Times New Roman"/>
      <w:sz w:val="20"/>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3" Type="http://schemas.openxmlformats.org/officeDocument/2006/relationships/webSettings" Target="webSetting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Gaston Heimeriks</dc:creator>
  <cp:keywords/>
  <dc:description/>
  <cp:lastModifiedBy>Nomaler, Z.O.</cp:lastModifiedBy>
  <cp:revision>2</cp:revision>
  <dcterms:created xsi:type="dcterms:W3CDTF">2014-10-08T11:17:00Z</dcterms:created>
  <dcterms:modified xsi:type="dcterms:W3CDTF">2014-10-08T11:17:00Z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