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F9" w:rsidRPr="00745093" w:rsidRDefault="003F6AF9" w:rsidP="003F6AF9">
      <w:pPr>
        <w:spacing w:after="0" w:line="240" w:lineRule="auto"/>
        <w:jc w:val="both"/>
        <w:rPr>
          <w:color w:val="000000"/>
        </w:rPr>
      </w:pPr>
      <w:r w:rsidRPr="008F276A">
        <w:rPr>
          <w:b/>
          <w:color w:val="000000"/>
        </w:rPr>
        <w:t>Table S3</w:t>
      </w:r>
      <w:r w:rsidRPr="00745093">
        <w:rPr>
          <w:color w:val="000000"/>
        </w:rPr>
        <w:t>. Comparison of full models assessing responses of avian assemblages to the presence of supplementary feeders, with and without taking spatial autocorrelation into account, for which the response variables exhibit statistically significant Moran’s I values (</w:t>
      </w:r>
      <w:r w:rsidRPr="00745093">
        <w:rPr>
          <w:i/>
          <w:color w:val="000000"/>
        </w:rPr>
        <w:t>P</w:t>
      </w:r>
      <w:r w:rsidRPr="00745093">
        <w:rPr>
          <w:color w:val="000000"/>
        </w:rPr>
        <w:t xml:space="preserve"> &lt; 0.05; Moran’s I &lt;0.045 in all cases). Taking spatial autocorrelation into account (using an </w:t>
      </w:r>
      <w:proofErr w:type="spellStart"/>
      <w:r w:rsidRPr="00745093">
        <w:rPr>
          <w:color w:val="000000"/>
        </w:rPr>
        <w:t>autocovariate</w:t>
      </w:r>
      <w:proofErr w:type="spellEnd"/>
      <w:r w:rsidRPr="00745093">
        <w:rPr>
          <w:color w:val="000000"/>
        </w:rPr>
        <w:t xml:space="preserve"> model constructed in the </w:t>
      </w:r>
      <w:proofErr w:type="spellStart"/>
      <w:r w:rsidRPr="00745093">
        <w:rPr>
          <w:color w:val="000000"/>
        </w:rPr>
        <w:t>spdep</w:t>
      </w:r>
      <w:proofErr w:type="spellEnd"/>
      <w:r w:rsidRPr="00745093">
        <w:rPr>
          <w:color w:val="000000"/>
        </w:rPr>
        <w:t xml:space="preserve"> package; R v. 2.15.1, 2012) has little influence on parameter estimates (mean ± </w:t>
      </w:r>
      <w:proofErr w:type="spellStart"/>
      <w:proofErr w:type="gramStart"/>
      <w:r w:rsidRPr="00745093">
        <w:rPr>
          <w:color w:val="000000"/>
        </w:rPr>
        <w:t>s.e</w:t>
      </w:r>
      <w:proofErr w:type="spellEnd"/>
      <w:proofErr w:type="gramEnd"/>
      <w:r w:rsidRPr="00745093">
        <w:rPr>
          <w:color w:val="000000"/>
        </w:rPr>
        <w:t xml:space="preserve">.) and explanatory capacity (in parentheses). </w:t>
      </w:r>
    </w:p>
    <w:tbl>
      <w:tblPr>
        <w:tblpPr w:leftFromText="180" w:rightFromText="180" w:vertAnchor="text" w:horzAnchor="margin" w:tblpY="372"/>
        <w:tblW w:w="12476" w:type="dxa"/>
        <w:tblBorders>
          <w:top w:val="single" w:sz="4" w:space="0" w:color="auto"/>
          <w:bottom w:val="single" w:sz="4" w:space="0" w:color="auto"/>
        </w:tblBorders>
        <w:tblLayout w:type="fixed"/>
        <w:tblLook w:val="01E0"/>
      </w:tblPr>
      <w:tblGrid>
        <w:gridCol w:w="2518"/>
        <w:gridCol w:w="851"/>
        <w:gridCol w:w="2223"/>
        <w:gridCol w:w="2400"/>
        <w:gridCol w:w="2223"/>
        <w:gridCol w:w="2261"/>
      </w:tblGrid>
      <w:tr w:rsidR="003F6AF9" w:rsidRPr="00AD46C6" w:rsidTr="005311E3">
        <w:trPr>
          <w:trHeight w:val="706"/>
        </w:trPr>
        <w:tc>
          <w:tcPr>
            <w:tcW w:w="2518" w:type="dxa"/>
            <w:tcBorders>
              <w:top w:val="single" w:sz="4" w:space="0" w:color="auto"/>
              <w:bottom w:val="single" w:sz="4" w:space="0" w:color="auto"/>
            </w:tcBorders>
            <w:vAlign w:val="center"/>
          </w:tcPr>
          <w:p w:rsidR="003F6AF9" w:rsidRPr="00745093" w:rsidRDefault="003F6AF9" w:rsidP="005311E3">
            <w:pPr>
              <w:spacing w:after="0" w:line="240" w:lineRule="auto"/>
              <w:jc w:val="center"/>
            </w:pPr>
            <w:r w:rsidRPr="00745093">
              <w:t>Model</w:t>
            </w:r>
          </w:p>
        </w:tc>
        <w:tc>
          <w:tcPr>
            <w:tcW w:w="851" w:type="dxa"/>
            <w:tcBorders>
              <w:top w:val="single" w:sz="4" w:space="0" w:color="auto"/>
              <w:bottom w:val="single" w:sz="4" w:space="0" w:color="auto"/>
            </w:tcBorders>
            <w:vAlign w:val="center"/>
          </w:tcPr>
          <w:p w:rsidR="003F6AF9" w:rsidRPr="00745093" w:rsidRDefault="003F6AF9" w:rsidP="005311E3">
            <w:pPr>
              <w:spacing w:after="0" w:line="240" w:lineRule="auto"/>
              <w:jc w:val="center"/>
            </w:pPr>
            <w:r w:rsidRPr="00745093">
              <w:t>Model R</w:t>
            </w:r>
            <w:r w:rsidRPr="00745093">
              <w:rPr>
                <w:vertAlign w:val="superscript"/>
              </w:rPr>
              <w:t>2</w:t>
            </w:r>
          </w:p>
        </w:tc>
        <w:tc>
          <w:tcPr>
            <w:tcW w:w="2223" w:type="dxa"/>
            <w:tcBorders>
              <w:top w:val="single" w:sz="4" w:space="0" w:color="auto"/>
              <w:bottom w:val="single" w:sz="4" w:space="0" w:color="auto"/>
            </w:tcBorders>
            <w:vAlign w:val="center"/>
          </w:tcPr>
          <w:p w:rsidR="003F6AF9" w:rsidRPr="00745093" w:rsidRDefault="003F6AF9" w:rsidP="005311E3">
            <w:pPr>
              <w:spacing w:after="0" w:line="240" w:lineRule="auto"/>
              <w:jc w:val="center"/>
            </w:pPr>
            <w:r w:rsidRPr="00745093">
              <w:t>Canopy cover</w:t>
            </w:r>
          </w:p>
        </w:tc>
        <w:tc>
          <w:tcPr>
            <w:tcW w:w="2400" w:type="dxa"/>
            <w:tcBorders>
              <w:top w:val="single" w:sz="4" w:space="0" w:color="auto"/>
              <w:bottom w:val="single" w:sz="4" w:space="0" w:color="auto"/>
            </w:tcBorders>
            <w:vAlign w:val="center"/>
          </w:tcPr>
          <w:p w:rsidR="003F6AF9" w:rsidRPr="00745093" w:rsidRDefault="003F6AF9" w:rsidP="005311E3">
            <w:pPr>
              <w:spacing w:after="0" w:line="240" w:lineRule="auto"/>
              <w:jc w:val="center"/>
            </w:pPr>
            <w:r w:rsidRPr="00745093">
              <w:t>Mean tree height</w:t>
            </w:r>
          </w:p>
        </w:tc>
        <w:tc>
          <w:tcPr>
            <w:tcW w:w="2223" w:type="dxa"/>
            <w:tcBorders>
              <w:top w:val="single" w:sz="4" w:space="0" w:color="auto"/>
              <w:bottom w:val="single" w:sz="4" w:space="0" w:color="auto"/>
            </w:tcBorders>
            <w:vAlign w:val="center"/>
          </w:tcPr>
          <w:p w:rsidR="003F6AF9" w:rsidRPr="00745093" w:rsidRDefault="003F6AF9" w:rsidP="005311E3">
            <w:pPr>
              <w:spacing w:after="0" w:line="240" w:lineRule="auto"/>
              <w:jc w:val="center"/>
              <w:rPr>
                <w:iCs/>
              </w:rPr>
            </w:pPr>
            <w:r w:rsidRPr="00745093">
              <w:rPr>
                <w:iCs/>
              </w:rPr>
              <w:t>Green space</w:t>
            </w:r>
          </w:p>
        </w:tc>
        <w:tc>
          <w:tcPr>
            <w:tcW w:w="2261" w:type="dxa"/>
            <w:tcBorders>
              <w:top w:val="single" w:sz="4" w:space="0" w:color="auto"/>
              <w:bottom w:val="single" w:sz="4" w:space="0" w:color="auto"/>
            </w:tcBorders>
            <w:vAlign w:val="center"/>
          </w:tcPr>
          <w:p w:rsidR="003F6AF9" w:rsidRPr="00745093" w:rsidRDefault="003F6AF9" w:rsidP="005311E3">
            <w:pPr>
              <w:spacing w:after="0" w:line="240" w:lineRule="auto"/>
              <w:jc w:val="center"/>
            </w:pPr>
            <w:r w:rsidRPr="00745093">
              <w:t>Supplementary feeding stations</w:t>
            </w:r>
          </w:p>
        </w:tc>
      </w:tr>
      <w:tr w:rsidR="003F6AF9" w:rsidRPr="00AD46C6" w:rsidTr="005311E3">
        <w:tc>
          <w:tcPr>
            <w:tcW w:w="2518" w:type="dxa"/>
          </w:tcPr>
          <w:p w:rsidR="003F6AF9" w:rsidRPr="006A4D2A" w:rsidRDefault="003F6AF9" w:rsidP="005311E3">
            <w:pPr>
              <w:spacing w:after="0" w:line="240" w:lineRule="auto"/>
            </w:pPr>
            <w:r w:rsidRPr="006A4D2A">
              <w:t>Breeding spp. rich of supplementary-feeding species:  non-spatial model</w:t>
            </w:r>
          </w:p>
        </w:tc>
        <w:tc>
          <w:tcPr>
            <w:tcW w:w="851" w:type="dxa"/>
          </w:tcPr>
          <w:p w:rsidR="003F6AF9" w:rsidRPr="00685BAE" w:rsidRDefault="003F6AF9" w:rsidP="005311E3">
            <w:pPr>
              <w:spacing w:after="0" w:line="240" w:lineRule="auto"/>
              <w:rPr>
                <w:color w:val="000000"/>
                <w:lang w:eastAsia="en-GB"/>
              </w:rPr>
            </w:pPr>
            <w:r w:rsidRPr="00685BAE">
              <w:rPr>
                <w:color w:val="000000"/>
                <w:lang w:eastAsia="en-GB"/>
              </w:rPr>
              <w:t>0.249</w:t>
            </w:r>
          </w:p>
        </w:tc>
        <w:tc>
          <w:tcPr>
            <w:tcW w:w="2223" w:type="dxa"/>
          </w:tcPr>
          <w:p w:rsidR="003F6AF9" w:rsidRPr="00685BAE" w:rsidRDefault="003F6AF9" w:rsidP="005311E3">
            <w:pPr>
              <w:spacing w:after="0" w:line="240" w:lineRule="auto"/>
            </w:pPr>
            <w:r w:rsidRPr="00685BAE">
              <w:rPr>
                <w:color w:val="000000"/>
                <w:lang w:eastAsia="en-GB"/>
              </w:rPr>
              <w:t>0.030 ± 0.011 (0.045)</w:t>
            </w:r>
          </w:p>
        </w:tc>
        <w:tc>
          <w:tcPr>
            <w:tcW w:w="2400" w:type="dxa"/>
          </w:tcPr>
          <w:p w:rsidR="003F6AF9" w:rsidRPr="00685BAE" w:rsidRDefault="003F6AF9" w:rsidP="005311E3">
            <w:pPr>
              <w:spacing w:after="0" w:line="240" w:lineRule="auto"/>
            </w:pPr>
            <w:r w:rsidRPr="00685BAE">
              <w:rPr>
                <w:color w:val="000000"/>
                <w:lang w:eastAsia="en-GB"/>
              </w:rPr>
              <w:t>-0.049 ± 0.052 (0.005)</w:t>
            </w:r>
          </w:p>
        </w:tc>
        <w:tc>
          <w:tcPr>
            <w:tcW w:w="2223" w:type="dxa"/>
          </w:tcPr>
          <w:p w:rsidR="003F6AF9" w:rsidRPr="00685BAE" w:rsidRDefault="003F6AF9" w:rsidP="005311E3">
            <w:pPr>
              <w:spacing w:after="0" w:line="240" w:lineRule="auto"/>
            </w:pPr>
            <w:r w:rsidRPr="00685BAE">
              <w:rPr>
                <w:color w:val="000000"/>
                <w:lang w:eastAsia="en-GB"/>
              </w:rPr>
              <w:t>0.020 ± 0.008 (0.038)</w:t>
            </w:r>
          </w:p>
        </w:tc>
        <w:tc>
          <w:tcPr>
            <w:tcW w:w="2261" w:type="dxa"/>
          </w:tcPr>
          <w:p w:rsidR="003F6AF9" w:rsidRPr="00685BAE" w:rsidRDefault="003F6AF9" w:rsidP="005311E3">
            <w:pPr>
              <w:spacing w:after="0" w:line="240" w:lineRule="auto"/>
            </w:pPr>
            <w:r w:rsidRPr="00685BAE">
              <w:rPr>
                <w:color w:val="000000"/>
                <w:lang w:eastAsia="en-GB"/>
              </w:rPr>
              <w:t>1.182 ± 0.349 (0.064)</w:t>
            </w:r>
          </w:p>
        </w:tc>
      </w:tr>
      <w:tr w:rsidR="003F6AF9" w:rsidRPr="00AD46C6" w:rsidTr="005311E3">
        <w:tc>
          <w:tcPr>
            <w:tcW w:w="2518" w:type="dxa"/>
          </w:tcPr>
          <w:p w:rsidR="003F6AF9" w:rsidRPr="006A4D2A" w:rsidRDefault="003F6AF9" w:rsidP="005311E3">
            <w:pPr>
              <w:spacing w:after="0" w:line="240" w:lineRule="auto"/>
            </w:pPr>
            <w:r w:rsidRPr="006A4D2A">
              <w:t>Breeding spp. rich of supplementary-feeding species: spatial model</w:t>
            </w:r>
          </w:p>
        </w:tc>
        <w:tc>
          <w:tcPr>
            <w:tcW w:w="851" w:type="dxa"/>
          </w:tcPr>
          <w:p w:rsidR="003F6AF9" w:rsidRPr="00685BAE" w:rsidRDefault="003F6AF9" w:rsidP="005311E3">
            <w:pPr>
              <w:spacing w:after="0" w:line="240" w:lineRule="auto"/>
              <w:rPr>
                <w:color w:val="000000"/>
                <w:lang w:eastAsia="en-GB"/>
              </w:rPr>
            </w:pPr>
            <w:r w:rsidRPr="00685BAE">
              <w:rPr>
                <w:color w:val="000000"/>
                <w:lang w:eastAsia="en-GB"/>
              </w:rPr>
              <w:t>0.283</w:t>
            </w:r>
          </w:p>
        </w:tc>
        <w:tc>
          <w:tcPr>
            <w:tcW w:w="2223" w:type="dxa"/>
          </w:tcPr>
          <w:p w:rsidR="003F6AF9" w:rsidRPr="00685BAE" w:rsidRDefault="003F6AF9" w:rsidP="005311E3">
            <w:pPr>
              <w:spacing w:after="0" w:line="240" w:lineRule="auto"/>
            </w:pPr>
            <w:r w:rsidRPr="00685BAE">
              <w:rPr>
                <w:color w:val="000000"/>
                <w:lang w:eastAsia="en-GB"/>
              </w:rPr>
              <w:t>0.032 ± 0.010 (0.049)</w:t>
            </w:r>
          </w:p>
        </w:tc>
        <w:tc>
          <w:tcPr>
            <w:tcW w:w="2400" w:type="dxa"/>
          </w:tcPr>
          <w:p w:rsidR="003F6AF9" w:rsidRPr="00685BAE" w:rsidRDefault="003F6AF9" w:rsidP="005311E3">
            <w:pPr>
              <w:spacing w:after="0" w:line="240" w:lineRule="auto"/>
            </w:pPr>
            <w:r w:rsidRPr="00685BAE">
              <w:rPr>
                <w:color w:val="000000"/>
                <w:lang w:eastAsia="en-GB"/>
              </w:rPr>
              <w:t>-0.044 ± 0.051 (0.004)</w:t>
            </w:r>
          </w:p>
        </w:tc>
        <w:tc>
          <w:tcPr>
            <w:tcW w:w="2223" w:type="dxa"/>
          </w:tcPr>
          <w:p w:rsidR="003F6AF9" w:rsidRPr="00685BAE" w:rsidRDefault="003F6AF9" w:rsidP="005311E3">
            <w:pPr>
              <w:spacing w:after="0" w:line="240" w:lineRule="auto"/>
            </w:pPr>
            <w:r w:rsidRPr="00685BAE">
              <w:rPr>
                <w:color w:val="000000"/>
                <w:lang w:eastAsia="en-GB"/>
              </w:rPr>
              <w:t>0.013 ± 0.008 (0.013)</w:t>
            </w:r>
          </w:p>
        </w:tc>
        <w:tc>
          <w:tcPr>
            <w:tcW w:w="2261" w:type="dxa"/>
          </w:tcPr>
          <w:p w:rsidR="003F6AF9" w:rsidRPr="00685BAE" w:rsidRDefault="003F6AF9" w:rsidP="005311E3">
            <w:pPr>
              <w:spacing w:after="0" w:line="240" w:lineRule="auto"/>
            </w:pPr>
            <w:r w:rsidRPr="00685BAE">
              <w:rPr>
                <w:color w:val="000000"/>
                <w:lang w:eastAsia="en-GB"/>
              </w:rPr>
              <w:t>1.139 ± 0.342 (0.059)</w:t>
            </w:r>
          </w:p>
        </w:tc>
      </w:tr>
      <w:tr w:rsidR="003F6AF9" w:rsidRPr="00AD46C6" w:rsidTr="005311E3">
        <w:tc>
          <w:tcPr>
            <w:tcW w:w="2518" w:type="dxa"/>
          </w:tcPr>
          <w:p w:rsidR="003F6AF9" w:rsidRPr="00685BAE" w:rsidRDefault="003F6AF9" w:rsidP="005311E3">
            <w:pPr>
              <w:spacing w:after="0" w:line="240" w:lineRule="auto"/>
            </w:pPr>
            <w:r w:rsidRPr="00685BAE">
              <w:t>Breeding density of supplementary-feeding species:  non-spatial model</w:t>
            </w:r>
          </w:p>
        </w:tc>
        <w:tc>
          <w:tcPr>
            <w:tcW w:w="851" w:type="dxa"/>
          </w:tcPr>
          <w:p w:rsidR="003F6AF9" w:rsidRPr="00685BAE" w:rsidRDefault="003F6AF9" w:rsidP="005311E3">
            <w:pPr>
              <w:spacing w:after="0" w:line="240" w:lineRule="auto"/>
              <w:rPr>
                <w:color w:val="000000"/>
                <w:lang w:eastAsia="en-GB"/>
              </w:rPr>
            </w:pPr>
            <w:r w:rsidRPr="00685BAE">
              <w:rPr>
                <w:color w:val="000000"/>
                <w:lang w:eastAsia="en-GB"/>
              </w:rPr>
              <w:t>0.211</w:t>
            </w:r>
          </w:p>
        </w:tc>
        <w:tc>
          <w:tcPr>
            <w:tcW w:w="2223" w:type="dxa"/>
          </w:tcPr>
          <w:p w:rsidR="003F6AF9" w:rsidRPr="00BC1DCA" w:rsidRDefault="003F6AF9" w:rsidP="005311E3">
            <w:pPr>
              <w:spacing w:after="0" w:line="240" w:lineRule="auto"/>
            </w:pPr>
            <w:r w:rsidRPr="00BC1DCA">
              <w:rPr>
                <w:color w:val="000000"/>
                <w:lang w:eastAsia="en-GB"/>
              </w:rPr>
              <w:t>0.076 ± 0.050 (0.014)</w:t>
            </w:r>
          </w:p>
        </w:tc>
        <w:tc>
          <w:tcPr>
            <w:tcW w:w="2400" w:type="dxa"/>
          </w:tcPr>
          <w:p w:rsidR="003F6AF9" w:rsidRPr="00BC1DCA" w:rsidRDefault="003F6AF9" w:rsidP="005311E3">
            <w:pPr>
              <w:spacing w:after="0" w:line="240" w:lineRule="auto"/>
            </w:pPr>
            <w:r w:rsidRPr="00BC1DCA">
              <w:rPr>
                <w:color w:val="000000"/>
                <w:lang w:eastAsia="en-GB"/>
              </w:rPr>
              <w:t>-0.302 ± 0.243 (0.009)</w:t>
            </w:r>
          </w:p>
        </w:tc>
        <w:tc>
          <w:tcPr>
            <w:tcW w:w="2223" w:type="dxa"/>
          </w:tcPr>
          <w:p w:rsidR="003F6AF9" w:rsidRPr="00BC1DCA" w:rsidRDefault="003F6AF9" w:rsidP="005311E3">
            <w:pPr>
              <w:spacing w:after="0" w:line="240" w:lineRule="auto"/>
            </w:pPr>
            <w:r w:rsidRPr="00BC1DCA">
              <w:rPr>
                <w:color w:val="000000"/>
                <w:lang w:eastAsia="en-GB"/>
              </w:rPr>
              <w:t>0.087 ± 0.036 (0.035)</w:t>
            </w:r>
          </w:p>
        </w:tc>
        <w:tc>
          <w:tcPr>
            <w:tcW w:w="2261" w:type="dxa"/>
          </w:tcPr>
          <w:p w:rsidR="003F6AF9" w:rsidRPr="00BC1DCA" w:rsidRDefault="003F6AF9" w:rsidP="005311E3">
            <w:pPr>
              <w:spacing w:after="0" w:line="240" w:lineRule="auto"/>
            </w:pPr>
            <w:r w:rsidRPr="00BC1DCA">
              <w:rPr>
                <w:color w:val="000000"/>
                <w:lang w:eastAsia="en-GB"/>
              </w:rPr>
              <w:t>6.647 ± 1.640 (0.096)</w:t>
            </w:r>
          </w:p>
        </w:tc>
      </w:tr>
      <w:tr w:rsidR="003F6AF9" w:rsidTr="005311E3">
        <w:tc>
          <w:tcPr>
            <w:tcW w:w="2518" w:type="dxa"/>
          </w:tcPr>
          <w:p w:rsidR="003F6AF9" w:rsidRPr="00685BAE" w:rsidRDefault="003F6AF9" w:rsidP="005311E3">
            <w:pPr>
              <w:spacing w:after="0" w:line="240" w:lineRule="auto"/>
            </w:pPr>
            <w:r w:rsidRPr="00685BAE">
              <w:t>Breeding density of supplementary-feeding species: spatial model</w:t>
            </w:r>
          </w:p>
        </w:tc>
        <w:tc>
          <w:tcPr>
            <w:tcW w:w="851" w:type="dxa"/>
          </w:tcPr>
          <w:p w:rsidR="003F6AF9" w:rsidRPr="00685BAE" w:rsidRDefault="003F6AF9" w:rsidP="005311E3">
            <w:pPr>
              <w:spacing w:after="0" w:line="240" w:lineRule="auto"/>
              <w:rPr>
                <w:color w:val="000000"/>
                <w:lang w:eastAsia="en-GB"/>
              </w:rPr>
            </w:pPr>
            <w:r w:rsidRPr="00685BAE">
              <w:rPr>
                <w:color w:val="000000"/>
                <w:lang w:eastAsia="en-GB"/>
              </w:rPr>
              <w:t>0.247</w:t>
            </w:r>
          </w:p>
        </w:tc>
        <w:tc>
          <w:tcPr>
            <w:tcW w:w="2223" w:type="dxa"/>
          </w:tcPr>
          <w:p w:rsidR="003F6AF9" w:rsidRPr="00BC1DCA" w:rsidRDefault="003F6AF9" w:rsidP="005311E3">
            <w:pPr>
              <w:spacing w:after="0" w:line="240" w:lineRule="auto"/>
            </w:pPr>
            <w:r w:rsidRPr="00BC1DCA">
              <w:rPr>
                <w:color w:val="000000"/>
                <w:lang w:eastAsia="en-GB"/>
              </w:rPr>
              <w:t>0.089 ± 0.049 (0.018)</w:t>
            </w:r>
          </w:p>
        </w:tc>
        <w:tc>
          <w:tcPr>
            <w:tcW w:w="2400" w:type="dxa"/>
          </w:tcPr>
          <w:p w:rsidR="003F6AF9" w:rsidRPr="00BC1DCA" w:rsidRDefault="003F6AF9" w:rsidP="005311E3">
            <w:pPr>
              <w:spacing w:after="0" w:line="240" w:lineRule="auto"/>
            </w:pPr>
            <w:r w:rsidRPr="00BC1DCA">
              <w:rPr>
                <w:color w:val="000000"/>
                <w:lang w:eastAsia="en-GB"/>
              </w:rPr>
              <w:t>-0.310 ± 0.239 (0.010)</w:t>
            </w:r>
          </w:p>
        </w:tc>
        <w:tc>
          <w:tcPr>
            <w:tcW w:w="2223" w:type="dxa"/>
          </w:tcPr>
          <w:p w:rsidR="003F6AF9" w:rsidRPr="00BC1DCA" w:rsidRDefault="003F6AF9" w:rsidP="005311E3">
            <w:pPr>
              <w:spacing w:after="0" w:line="240" w:lineRule="auto"/>
            </w:pPr>
            <w:r w:rsidRPr="00BC1DCA">
              <w:rPr>
                <w:color w:val="000000"/>
                <w:lang w:eastAsia="en-GB"/>
              </w:rPr>
              <w:t>0.051 ± 0.038 (0.010)</w:t>
            </w:r>
          </w:p>
        </w:tc>
        <w:tc>
          <w:tcPr>
            <w:tcW w:w="2261" w:type="dxa"/>
          </w:tcPr>
          <w:p w:rsidR="003F6AF9" w:rsidRPr="00BC1DCA" w:rsidRDefault="003F6AF9" w:rsidP="005311E3">
            <w:pPr>
              <w:spacing w:after="0" w:line="240" w:lineRule="auto"/>
            </w:pPr>
            <w:r w:rsidRPr="00BC1DCA">
              <w:rPr>
                <w:color w:val="000000"/>
                <w:lang w:eastAsia="en-GB"/>
              </w:rPr>
              <w:t>6.221 ± 1.617 (0.083)</w:t>
            </w:r>
          </w:p>
        </w:tc>
      </w:tr>
    </w:tbl>
    <w:p w:rsidR="003F6AF9" w:rsidRDefault="003F6AF9" w:rsidP="003F6AF9">
      <w:pPr>
        <w:spacing w:after="0" w:line="240" w:lineRule="auto"/>
        <w:rPr>
          <w:color w:val="000000"/>
        </w:rPr>
      </w:pPr>
    </w:p>
    <w:p w:rsidR="003F6AF9" w:rsidRDefault="003F6AF9" w:rsidP="003F6AF9">
      <w:pPr>
        <w:autoSpaceDE w:val="0"/>
        <w:autoSpaceDN w:val="0"/>
        <w:adjustRightInd w:val="0"/>
        <w:spacing w:after="0" w:line="240" w:lineRule="auto"/>
        <w:jc w:val="both"/>
      </w:pPr>
    </w:p>
    <w:p w:rsidR="000C571E" w:rsidRDefault="008F276A"/>
    <w:sectPr w:rsidR="000C571E" w:rsidSect="00115FCF">
      <w:pgSz w:w="15840" w:h="1224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F9"/>
    <w:rsid w:val="00025BE3"/>
    <w:rsid w:val="0018246E"/>
    <w:rsid w:val="002057D5"/>
    <w:rsid w:val="003F6AF9"/>
    <w:rsid w:val="008F276A"/>
    <w:rsid w:val="00CB51A7"/>
    <w:rsid w:val="00E517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F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Hewlett-Packard Company</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bo1ke</dc:creator>
  <cp:lastModifiedBy>bo1ke</cp:lastModifiedBy>
  <cp:revision>2</cp:revision>
  <dcterms:created xsi:type="dcterms:W3CDTF">2014-05-30T13:54:00Z</dcterms:created>
  <dcterms:modified xsi:type="dcterms:W3CDTF">2014-05-30T13:54:00Z</dcterms:modified>
</cp:coreProperties>
</file>