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tabs>
          <w:tab w:val="left" w:pos="-1560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Spec="center" w:tblpY="3241"/>
        <w:tblW w:w="23977" w:type="dxa"/>
        <w:tblLayout w:type="fixed"/>
        <w:tblLook w:val="04A0"/>
      </w:tblPr>
      <w:tblGrid>
        <w:gridCol w:w="1242"/>
        <w:gridCol w:w="1418"/>
        <w:gridCol w:w="1276"/>
        <w:gridCol w:w="1275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343"/>
        <w:gridCol w:w="1156"/>
        <w:gridCol w:w="1433"/>
        <w:gridCol w:w="1541"/>
        <w:gridCol w:w="1216"/>
        <w:gridCol w:w="1361"/>
        <w:gridCol w:w="1502"/>
      </w:tblGrid>
      <w:tr w:rsidR="00356F87" w:rsidRPr="00C63CF0" w:rsidTr="00C63CF0">
        <w:tc>
          <w:tcPr>
            <w:tcW w:w="124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3969" w:type="dxa"/>
            <w:gridSpan w:val="3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PfO-1</w:t>
            </w:r>
          </w:p>
        </w:tc>
        <w:tc>
          <w:tcPr>
            <w:tcW w:w="3544" w:type="dxa"/>
            <w:gridSpan w:val="3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Pf-5</w:t>
            </w:r>
          </w:p>
        </w:tc>
        <w:tc>
          <w:tcPr>
            <w:tcW w:w="3402" w:type="dxa"/>
            <w:gridSpan w:val="3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CHAO-1</w:t>
            </w:r>
          </w:p>
        </w:tc>
        <w:tc>
          <w:tcPr>
            <w:tcW w:w="3611" w:type="dxa"/>
            <w:gridSpan w:val="3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ATCC13525</w:t>
            </w:r>
          </w:p>
        </w:tc>
        <w:tc>
          <w:tcPr>
            <w:tcW w:w="4130" w:type="dxa"/>
            <w:gridSpan w:val="3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P109</w:t>
            </w:r>
          </w:p>
        </w:tc>
        <w:tc>
          <w:tcPr>
            <w:tcW w:w="4079" w:type="dxa"/>
            <w:gridSpan w:val="3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Fp315</w:t>
            </w:r>
          </w:p>
        </w:tc>
      </w:tr>
      <w:tr w:rsidR="00C63CF0" w:rsidRPr="00C63CF0" w:rsidTr="00C63CF0">
        <w:tc>
          <w:tcPr>
            <w:tcW w:w="124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YC</w:t>
            </w:r>
          </w:p>
        </w:tc>
        <w:tc>
          <w:tcPr>
            <w:tcW w:w="1275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YC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YC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YC</w:t>
            </w:r>
          </w:p>
        </w:tc>
        <w:tc>
          <w:tcPr>
            <w:tcW w:w="134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</w:p>
        </w:tc>
        <w:tc>
          <w:tcPr>
            <w:tcW w:w="115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143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YC</w:t>
            </w:r>
          </w:p>
        </w:tc>
        <w:tc>
          <w:tcPr>
            <w:tcW w:w="154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</w:p>
        </w:tc>
        <w:tc>
          <w:tcPr>
            <w:tcW w:w="121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WT</w:t>
            </w:r>
          </w:p>
        </w:tc>
        <w:tc>
          <w:tcPr>
            <w:tcW w:w="136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YC</w:t>
            </w:r>
          </w:p>
        </w:tc>
        <w:tc>
          <w:tcPr>
            <w:tcW w:w="150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Int</w:t>
            </w:r>
          </w:p>
        </w:tc>
      </w:tr>
      <w:tr w:rsidR="00C63CF0" w:rsidRPr="00C63CF0" w:rsidTr="00C63CF0">
        <w:tc>
          <w:tcPr>
            <w:tcW w:w="124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Style w:val="remarkable-pre-marked"/>
                <w:rFonts w:ascii="Times New Roman" w:hAnsi="Times New Roman" w:cs="Times New Roman"/>
                <w:b/>
                <w:sz w:val="20"/>
                <w:szCs w:val="20"/>
              </w:rPr>
              <w:t>μ (h</w:t>
            </w:r>
            <w:r w:rsidRPr="00C63CF0">
              <w:rPr>
                <w:rStyle w:val="remarkable-pre-marked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-1</w:t>
            </w:r>
            <w:r w:rsidRPr="00C63CF0">
              <w:rPr>
                <w:rStyle w:val="remarkable-pre-marked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0.24±0.035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0.29±0.05</w:t>
            </w:r>
          </w:p>
        </w:tc>
        <w:tc>
          <w:tcPr>
            <w:tcW w:w="1275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0.31±0.02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0.27±0.04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0.16±0.02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0.22±0.04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0.28±0.03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0.23±0.02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0.3±0.03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0.21±0.05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0.19±0.03</w:t>
            </w:r>
          </w:p>
        </w:tc>
        <w:tc>
          <w:tcPr>
            <w:tcW w:w="134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0.17±0.02</w:t>
            </w:r>
          </w:p>
        </w:tc>
        <w:tc>
          <w:tcPr>
            <w:tcW w:w="115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0.26±0.04</w:t>
            </w:r>
          </w:p>
        </w:tc>
        <w:tc>
          <w:tcPr>
            <w:tcW w:w="143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0.21±0.02</w:t>
            </w:r>
          </w:p>
        </w:tc>
        <w:tc>
          <w:tcPr>
            <w:tcW w:w="154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0.22±0.02</w:t>
            </w:r>
          </w:p>
        </w:tc>
        <w:tc>
          <w:tcPr>
            <w:tcW w:w="121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0.34±0.04</w:t>
            </w:r>
          </w:p>
        </w:tc>
        <w:tc>
          <w:tcPr>
            <w:tcW w:w="136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0.3±0.03</w:t>
            </w:r>
          </w:p>
        </w:tc>
        <w:tc>
          <w:tcPr>
            <w:tcW w:w="150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0.47±0.05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‡</w:t>
            </w:r>
          </w:p>
        </w:tc>
      </w:tr>
      <w:tr w:rsidR="00C63CF0" w:rsidRPr="00C63CF0" w:rsidTr="00C63CF0">
        <w:tc>
          <w:tcPr>
            <w:tcW w:w="124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TGD (mM)</w:t>
            </w:r>
          </w:p>
        </w:tc>
        <w:tc>
          <w:tcPr>
            <w:tcW w:w="1418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54.68±6.59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58.89±3.3</w:t>
            </w:r>
          </w:p>
        </w:tc>
        <w:tc>
          <w:tcPr>
            <w:tcW w:w="1275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56.06±6.68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70.9±3.42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67.15±4.3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61.6±5.05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47.2±3.65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51.06±3.79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64.0±5.55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49.3±4.23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44.2±4.34</w:t>
            </w:r>
          </w:p>
        </w:tc>
        <w:tc>
          <w:tcPr>
            <w:tcW w:w="134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39.13±5.2</w:t>
            </w:r>
          </w:p>
        </w:tc>
        <w:tc>
          <w:tcPr>
            <w:tcW w:w="115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70.2±4.4</w:t>
            </w:r>
          </w:p>
        </w:tc>
        <w:tc>
          <w:tcPr>
            <w:tcW w:w="143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45.75±3.78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54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52.56±4.03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21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62.14±4.35</w:t>
            </w:r>
          </w:p>
        </w:tc>
        <w:tc>
          <w:tcPr>
            <w:tcW w:w="136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50.66±3.76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50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70.27±3.7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‡‡</w:t>
            </w:r>
          </w:p>
        </w:tc>
      </w:tr>
      <w:tr w:rsidR="00C63CF0" w:rsidRPr="00C63CF0" w:rsidTr="00C63CF0">
        <w:tc>
          <w:tcPr>
            <w:tcW w:w="124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GC (mM)</w:t>
            </w:r>
          </w:p>
        </w:tc>
        <w:tc>
          <w:tcPr>
            <w:tcW w:w="1418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30.6±2.91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25.16±2.35</w:t>
            </w:r>
          </w:p>
        </w:tc>
        <w:tc>
          <w:tcPr>
            <w:tcW w:w="1275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19.2±2.21 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‡‡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55.8±4.2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26.32±3.6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22.38±3.16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11.5±2.17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14.52±2.53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13.5±3.05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43.9±3.9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34.7±3.27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4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34.33±2.89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5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6.68±1.45</w:t>
            </w:r>
          </w:p>
        </w:tc>
        <w:tc>
          <w:tcPr>
            <w:tcW w:w="143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32.21±3.61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54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20.21±3.31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††,‡‡</w:t>
            </w:r>
          </w:p>
        </w:tc>
        <w:tc>
          <w:tcPr>
            <w:tcW w:w="121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34.01±3.87</w:t>
            </w:r>
          </w:p>
        </w:tc>
        <w:tc>
          <w:tcPr>
            <w:tcW w:w="136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15.16±3.13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50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17.83±3.3</w:t>
            </w:r>
          </w:p>
        </w:tc>
      </w:tr>
      <w:tr w:rsidR="00C63CF0" w:rsidRPr="00C63CF0" w:rsidTr="00C63CF0">
        <w:tc>
          <w:tcPr>
            <w:tcW w:w="124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BMY (g/g)</w:t>
            </w:r>
          </w:p>
        </w:tc>
        <w:tc>
          <w:tcPr>
            <w:tcW w:w="1418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0.075±0.006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0.17±0.025 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275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0.26±0.016 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†††, ‡‡</w:t>
            </w:r>
          </w:p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0.06±0.01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0.1±0.02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0.13±0.02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0.16±0.01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0.19±0.01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0.21±0.02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0.07±0.02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0.11±0.01</w:t>
            </w:r>
          </w:p>
        </w:tc>
        <w:tc>
          <w:tcPr>
            <w:tcW w:w="134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0.079±0.01</w:t>
            </w:r>
          </w:p>
        </w:tc>
        <w:tc>
          <w:tcPr>
            <w:tcW w:w="115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0.11±0.01</w:t>
            </w:r>
          </w:p>
        </w:tc>
        <w:tc>
          <w:tcPr>
            <w:tcW w:w="143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0.19±0.02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54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0.23±0.005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21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0.21±0.01</w:t>
            </w:r>
          </w:p>
        </w:tc>
        <w:tc>
          <w:tcPr>
            <w:tcW w:w="136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0.31±0.01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50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0.36±0.01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†††, ‡‡</w:t>
            </w:r>
          </w:p>
        </w:tc>
      </w:tr>
      <w:tr w:rsidR="00C63CF0" w:rsidRPr="00C63CF0" w:rsidTr="00C63CF0">
        <w:tc>
          <w:tcPr>
            <w:tcW w:w="1242" w:type="dxa"/>
          </w:tcPr>
          <w:p w:rsidR="00356F87" w:rsidRPr="00C63CF0" w:rsidRDefault="00C63CF0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QGlc (g/g/h</w:t>
            </w:r>
            <w:r w:rsidR="00356F87"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1.79±0.12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2.51±0.41</w:t>
            </w:r>
          </w:p>
        </w:tc>
        <w:tc>
          <w:tcPr>
            <w:tcW w:w="1275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1.98±0.45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4.11±0.23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7.23±0.37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27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8.08±0.27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3.19±0.23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4.52±0.39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3.88±0.49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2.67±0.37</w:t>
            </w:r>
          </w:p>
        </w:tc>
        <w:tc>
          <w:tcPr>
            <w:tcW w:w="1134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1.23±0.21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</w:t>
            </w:r>
          </w:p>
        </w:tc>
        <w:tc>
          <w:tcPr>
            <w:tcW w:w="134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1.83±0.24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5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1.25±0.06</w:t>
            </w:r>
          </w:p>
        </w:tc>
        <w:tc>
          <w:tcPr>
            <w:tcW w:w="1433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.75±0.26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54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1.62±0.23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‡‡</w:t>
            </w:r>
          </w:p>
        </w:tc>
        <w:tc>
          <w:tcPr>
            <w:tcW w:w="1216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3.17±0.35</w:t>
            </w:r>
          </w:p>
        </w:tc>
        <w:tc>
          <w:tcPr>
            <w:tcW w:w="1361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6.53±0.43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†††</w:t>
            </w:r>
          </w:p>
        </w:tc>
        <w:tc>
          <w:tcPr>
            <w:tcW w:w="1502" w:type="dxa"/>
          </w:tcPr>
          <w:p w:rsidR="00356F87" w:rsidRPr="00C63CF0" w:rsidRDefault="00356F87" w:rsidP="00356F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CF0">
              <w:rPr>
                <w:rFonts w:ascii="Times New Roman" w:hAnsi="Times New Roman" w:cs="Times New Roman"/>
                <w:b/>
                <w:sz w:val="20"/>
                <w:szCs w:val="20"/>
              </w:rPr>
              <w:t>4.58±0.34</w:t>
            </w:r>
            <w:r w:rsidRPr="00C63CF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††, ‡‡</w:t>
            </w:r>
          </w:p>
        </w:tc>
      </w:tr>
    </w:tbl>
    <w:p w:rsidR="00356F87" w:rsidRPr="00C63CF0" w:rsidRDefault="00356F87" w:rsidP="00356F87">
      <w:pPr>
        <w:ind w:left="720" w:firstLine="720"/>
        <w:rPr>
          <w:rFonts w:ascii="Times New Roman" w:hAnsi="Times New Roman" w:cs="Times New Roman"/>
        </w:rPr>
      </w:pPr>
      <w:r w:rsidRPr="00C63CF0">
        <w:rPr>
          <w:rFonts w:ascii="Times New Roman" w:hAnsi="Times New Roman" w:cs="Times New Roman"/>
          <w:b/>
        </w:rPr>
        <w:t>Table S1</w:t>
      </w:r>
      <w:r w:rsidRPr="00C63CF0">
        <w:rPr>
          <w:rFonts w:ascii="Times New Roman" w:hAnsi="Times New Roman" w:cs="Times New Roman"/>
        </w:rPr>
        <w:t xml:space="preserve">: </w:t>
      </w:r>
      <w:r w:rsidRPr="00C63CF0">
        <w:rPr>
          <w:rFonts w:ascii="Times New Roman" w:hAnsi="Times New Roman" w:cs="Times New Roman"/>
          <w:b/>
          <w:bCs/>
          <w:szCs w:val="20"/>
        </w:rPr>
        <w:t xml:space="preserve">Physiological variables from </w:t>
      </w:r>
      <w:r w:rsidRPr="00C63CF0">
        <w:rPr>
          <w:rFonts w:ascii="Times New Roman" w:hAnsi="Times New Roman" w:cs="Times New Roman"/>
          <w:b/>
          <w:bCs/>
          <w:i/>
          <w:iCs/>
          <w:szCs w:val="20"/>
        </w:rPr>
        <w:t>P. fluorescens</w:t>
      </w:r>
      <w:r w:rsidR="00C63CF0" w:rsidRPr="00C63CF0">
        <w:rPr>
          <w:rFonts w:ascii="Times New Roman" w:hAnsi="Times New Roman" w:cs="Times New Roman"/>
          <w:b/>
          <w:bCs/>
          <w:szCs w:val="20"/>
        </w:rPr>
        <w:t>transformant and</w:t>
      </w:r>
      <w:r w:rsidRPr="00C63CF0">
        <w:rPr>
          <w:rFonts w:ascii="Times New Roman" w:hAnsi="Times New Roman" w:cs="Times New Roman"/>
          <w:b/>
          <w:bCs/>
          <w:szCs w:val="20"/>
        </w:rPr>
        <w:t xml:space="preserve"> integrant strains grown on75 mM glucose in TRP minimal medium</w:t>
      </w:r>
      <w:r w:rsidRPr="00C63CF0">
        <w:rPr>
          <w:rFonts w:ascii="Times New Roman" w:hAnsi="Times New Roman" w:cs="Times New Roman"/>
          <w:bCs/>
          <w:szCs w:val="20"/>
        </w:rPr>
        <w:t>.</w:t>
      </w: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ind w:left="709"/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rPr>
          <w:rFonts w:ascii="Times New Roman" w:hAnsi="Times New Roman" w:cs="Times New Roman"/>
        </w:rPr>
      </w:pPr>
    </w:p>
    <w:p w:rsidR="00356F87" w:rsidRPr="00C63CF0" w:rsidRDefault="00356F87" w:rsidP="00356F87">
      <w:pPr>
        <w:ind w:left="720" w:firstLine="720"/>
        <w:jc w:val="both"/>
        <w:rPr>
          <w:rFonts w:ascii="Times New Roman" w:hAnsi="Times New Roman" w:cs="Times New Roman"/>
          <w:bCs/>
          <w:szCs w:val="20"/>
        </w:rPr>
      </w:pPr>
      <w:r w:rsidRPr="00C63CF0">
        <w:rPr>
          <w:rFonts w:ascii="Times New Roman" w:hAnsi="Times New Roman" w:cs="Times New Roman"/>
          <w:bCs/>
          <w:szCs w:val="20"/>
        </w:rPr>
        <w:t>Growth rate (</w:t>
      </w:r>
      <w:r w:rsidRPr="00C63CF0">
        <w:rPr>
          <w:rStyle w:val="st"/>
          <w:rFonts w:ascii="Times New Roman" w:hAnsi="Times New Roman" w:cs="Times New Roman"/>
        </w:rPr>
        <w:t>µ)</w:t>
      </w:r>
      <w:r w:rsidRPr="00C63CF0">
        <w:rPr>
          <w:rFonts w:ascii="Times New Roman" w:hAnsi="Times New Roman" w:cs="Times New Roman"/>
          <w:bCs/>
          <w:szCs w:val="20"/>
        </w:rPr>
        <w:t xml:space="preserve">, Biomass yield (BMY) and specific glucose utilization rate (Q Glc) were estimated from mid log phase cultures and total glucose depleted (TGD) and glucose consumption (GC) </w:t>
      </w:r>
      <w:r w:rsidR="00C63CF0" w:rsidRPr="00C63CF0">
        <w:rPr>
          <w:rFonts w:ascii="Times New Roman" w:hAnsi="Times New Roman" w:cs="Times New Roman"/>
          <w:bCs/>
          <w:szCs w:val="20"/>
        </w:rPr>
        <w:t>was</w:t>
      </w:r>
      <w:r w:rsidRPr="00C63CF0">
        <w:rPr>
          <w:rFonts w:ascii="Times New Roman" w:hAnsi="Times New Roman" w:cs="Times New Roman"/>
          <w:bCs/>
          <w:szCs w:val="20"/>
        </w:rPr>
        <w:t xml:space="preserve"> determined at the time of pH drop (96 h). </w:t>
      </w:r>
    </w:p>
    <w:p w:rsidR="00356F87" w:rsidRPr="00C63CF0" w:rsidRDefault="00356F87" w:rsidP="00356F87">
      <w:pPr>
        <w:ind w:left="720" w:firstLine="720"/>
        <w:jc w:val="both"/>
        <w:rPr>
          <w:rFonts w:ascii="Times New Roman" w:hAnsi="Times New Roman" w:cs="Times New Roman"/>
          <w:szCs w:val="20"/>
        </w:rPr>
      </w:pPr>
      <w:r w:rsidRPr="00C63CF0">
        <w:rPr>
          <w:rFonts w:ascii="Times New Roman" w:hAnsi="Times New Roman" w:cs="Times New Roman"/>
          <w:bCs/>
          <w:szCs w:val="20"/>
        </w:rPr>
        <w:t xml:space="preserve">The values are depicted as Mean </w:t>
      </w:r>
      <w:r w:rsidRPr="00C63CF0">
        <w:rPr>
          <w:rFonts w:ascii="Times New Roman" w:hAnsi="Times New Roman" w:cs="Times New Roman"/>
          <w:szCs w:val="20"/>
        </w:rPr>
        <w:t>± S.E.M of 4 (N=4) independent observations</w:t>
      </w:r>
      <w:r w:rsidRPr="00C63CF0">
        <w:rPr>
          <w:rFonts w:ascii="Times New Roman" w:hAnsi="Times New Roman" w:cs="Times New Roman"/>
          <w:b/>
          <w:bCs/>
          <w:szCs w:val="20"/>
        </w:rPr>
        <w:t xml:space="preserve">. </w:t>
      </w:r>
      <w:r w:rsidRPr="00C63CF0">
        <w:rPr>
          <w:rFonts w:ascii="Times New Roman" w:hAnsi="Times New Roman" w:cs="Times New Roman"/>
          <w:szCs w:val="20"/>
        </w:rPr>
        <w:t>†Comparison of parameters with vector control Gm, ‡comparison of parameters between pYC plasmid transformants and genomic integrants of</w:t>
      </w:r>
    </w:p>
    <w:p w:rsidR="00356F87" w:rsidRPr="00C63CF0" w:rsidRDefault="00356F87" w:rsidP="00356F87">
      <w:pPr>
        <w:jc w:val="both"/>
        <w:rPr>
          <w:rFonts w:ascii="Times New Roman" w:hAnsi="Times New Roman" w:cs="Times New Roman"/>
          <w:szCs w:val="20"/>
        </w:rPr>
      </w:pPr>
      <w:r w:rsidRPr="00C63CF0">
        <w:rPr>
          <w:rFonts w:ascii="Times New Roman" w:hAnsi="Times New Roman" w:cs="Times New Roman"/>
          <w:szCs w:val="20"/>
        </w:rPr>
        <w:tab/>
      </w:r>
      <w:r w:rsidRPr="00C63CF0">
        <w:rPr>
          <w:rFonts w:ascii="Times New Roman" w:hAnsi="Times New Roman" w:cs="Times New Roman"/>
          <w:szCs w:val="20"/>
        </w:rPr>
        <w:tab/>
        <w:t>fluorescent pseudomonads. †††, ‡‡‡: P&lt; 0.001; ††, ‡‡: P&lt; 0.01, †, ‡: P&lt; 0.05</w:t>
      </w:r>
    </w:p>
    <w:p w:rsidR="00356F87" w:rsidRPr="00C63CF0" w:rsidRDefault="00356F87" w:rsidP="00356F87">
      <w:pPr>
        <w:tabs>
          <w:tab w:val="left" w:pos="1419"/>
        </w:tabs>
        <w:jc w:val="both"/>
        <w:rPr>
          <w:rFonts w:ascii="Times New Roman" w:hAnsi="Times New Roman" w:cs="Times New Roman"/>
        </w:rPr>
      </w:pPr>
    </w:p>
    <w:p w:rsidR="00356F87" w:rsidRPr="00C63CF0" w:rsidRDefault="00356F87" w:rsidP="00356F87">
      <w:pPr>
        <w:tabs>
          <w:tab w:val="left" w:pos="1419"/>
        </w:tabs>
        <w:jc w:val="center"/>
        <w:rPr>
          <w:rFonts w:ascii="Times New Roman" w:hAnsi="Times New Roman" w:cs="Times New Roman"/>
        </w:rPr>
      </w:pPr>
    </w:p>
    <w:p w:rsidR="00BA63EF" w:rsidRPr="00C63CF0" w:rsidRDefault="00BA63E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63EF" w:rsidRPr="00C63CF0" w:rsidSect="00A41D2A">
      <w:pgSz w:w="27360" w:h="18720" w:orient="landscape"/>
      <w:pgMar w:top="1800" w:right="1440" w:bottom="180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A1" w:rsidRDefault="00D078A1" w:rsidP="00C63CF0">
      <w:r>
        <w:separator/>
      </w:r>
    </w:p>
  </w:endnote>
  <w:endnote w:type="continuationSeparator" w:id="1">
    <w:p w:rsidR="00D078A1" w:rsidRDefault="00D078A1" w:rsidP="00C63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A1" w:rsidRDefault="00D078A1" w:rsidP="00C63CF0">
      <w:r>
        <w:separator/>
      </w:r>
    </w:p>
  </w:footnote>
  <w:footnote w:type="continuationSeparator" w:id="1">
    <w:p w:rsidR="00D078A1" w:rsidRDefault="00D078A1" w:rsidP="00C63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6F87"/>
    <w:rsid w:val="00356F87"/>
    <w:rsid w:val="003B6409"/>
    <w:rsid w:val="004E1844"/>
    <w:rsid w:val="00543707"/>
    <w:rsid w:val="00BA63EF"/>
    <w:rsid w:val="00C63CF0"/>
    <w:rsid w:val="00D0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markable-pre-marked">
    <w:name w:val="remarkable-pre-marked"/>
    <w:basedOn w:val="DefaultParagraphFont"/>
    <w:rsid w:val="00356F87"/>
  </w:style>
  <w:style w:type="character" w:customStyle="1" w:styleId="st">
    <w:name w:val="st"/>
    <w:basedOn w:val="DefaultParagraphFont"/>
    <w:rsid w:val="00356F87"/>
  </w:style>
  <w:style w:type="paragraph" w:styleId="Header">
    <w:name w:val="header"/>
    <w:basedOn w:val="Normal"/>
    <w:link w:val="HeaderChar"/>
    <w:uiPriority w:val="99"/>
    <w:unhideWhenUsed/>
    <w:rsid w:val="00C63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F0"/>
  </w:style>
  <w:style w:type="paragraph" w:styleId="Footer">
    <w:name w:val="footer"/>
    <w:basedOn w:val="Normal"/>
    <w:link w:val="FooterChar"/>
    <w:uiPriority w:val="99"/>
    <w:unhideWhenUsed/>
    <w:rsid w:val="00C63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markable-pre-marked">
    <w:name w:val="remarkable-pre-marked"/>
    <w:basedOn w:val="DefaultParagraphFont"/>
    <w:rsid w:val="00356F87"/>
  </w:style>
  <w:style w:type="character" w:customStyle="1" w:styleId="st">
    <w:name w:val="st"/>
    <w:basedOn w:val="DefaultParagraphFont"/>
    <w:rsid w:val="00356F87"/>
  </w:style>
  <w:style w:type="paragraph" w:styleId="Header">
    <w:name w:val="header"/>
    <w:basedOn w:val="Normal"/>
    <w:link w:val="HeaderChar"/>
    <w:uiPriority w:val="99"/>
    <w:unhideWhenUsed/>
    <w:rsid w:val="00C63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F0"/>
  </w:style>
  <w:style w:type="paragraph" w:styleId="Footer">
    <w:name w:val="footer"/>
    <w:basedOn w:val="Normal"/>
    <w:link w:val="FooterChar"/>
    <w:uiPriority w:val="99"/>
    <w:unhideWhenUsed/>
    <w:rsid w:val="00C63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Hemanta Adhikary</dc:creator>
  <cp:lastModifiedBy>HP</cp:lastModifiedBy>
  <cp:revision>2</cp:revision>
  <dcterms:created xsi:type="dcterms:W3CDTF">2014-08-24T05:33:00Z</dcterms:created>
  <dcterms:modified xsi:type="dcterms:W3CDTF">2014-08-24T05:33:00Z</dcterms:modified>
</cp:coreProperties>
</file>